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ook w:firstColumn="1" w:firstRow="1" w:lastColumn="0" w:lastRow="0" w:noHBand="0" w:noVBand="1" w:val="04A0"/>
      </w:tblPr>
      <w:tblGrid>
        <w:gridCol w:w="4320"/>
        <w:gridCol w:w="4320"/>
      </w:tblGrid>
      <w:tr>
        <w:tc>
          <w:tcPr>
            <w:tcW w:type="dxa" w:w="4320"/>
          </w:tcPr>
          <w:p/>
          <w:p>
            <w:r>
              <w:drawing>
                <wp:inline xmlns:a="http://schemas.openxmlformats.org/drawingml/2006/main" xmlns:pic="http://schemas.openxmlformats.org/drawingml/2006/picture">
                  <wp:extent cx="914400" cy="1114828"/>
                  <wp:docPr id="1" name="Picture 1"/>
                  <wp:cNvGraphicFramePr>
                    <a:graphicFrameLocks noChangeAspect="1"/>
                  </wp:cNvGraphicFramePr>
                  <a:graphic>
                    <a:graphicData uri="http://schemas.openxmlformats.org/drawingml/2006/picture">
                      <pic:pic>
                        <pic:nvPicPr>
                          <pic:cNvPr id="0" name="logoLarge.png"/>
                          <pic:cNvPicPr/>
                        </pic:nvPicPr>
                        <pic:blipFill>
                          <a:blip r:embed="rId9"/>
                          <a:stretch>
                            <a:fillRect/>
                          </a:stretch>
                        </pic:blipFill>
                        <pic:spPr>
                          <a:xfrm>
                            <a:off x="0" y="0"/>
                            <a:ext cx="914400" cy="1114828"/>
                          </a:xfrm>
                          <a:prstGeom prst="rect"/>
                        </pic:spPr>
                      </pic:pic>
                    </a:graphicData>
                  </a:graphic>
                </wp:inline>
              </w:drawing>
            </w:r>
          </w:p>
          <w:p>
            <w:pPr>
              <w:pStyle w:val="SmallCapsHeading"/>
            </w:pPr>
            <w:hyperlink r:id="rId10">
              <w:r>
                <w:rPr>
                  <w:color w:val="3a0517"/>
                </w:rPr>
                <w:t>Opine Law</w:t>
              </w:r>
            </w:hyperlink>
          </w:p>
        </w:tc>
        <w:tc>
          <w:tcPr>
            <w:tcW w:type="dxa" w:w="4320"/>
          </w:tcPr>
          <w:p/>
          <w:p>
            <w:r>
              <w:t>Case: 2:26-cv-00272 - ZEUS REALTY GROUP LLC. v. 1032 N. SYCAMORE OWNER (LA), LLC.</w:t>
            </w:r>
          </w:p>
        </w:tc>
      </w:tr>
    </w:tbl>
    <w:p>
      <w:pPr>
        <w:pStyle w:val="OpineSubtitle"/>
      </w:pPr>
      <w:r>
        <w:t>Citation Report</w:t>
      </w:r>
    </w:p>
    <w:p>
      <w:pPr>
        <w:pStyle w:val="OpineTitle"/>
      </w:pPr>
      <w:r>
        <w:t>Plaintiff's Notice of Motion and Motion to Remand</w:t>
      </w:r>
    </w:p>
    <w:p>
      <w:pPr>
        <w:pStyle w:val="Heading1"/>
      </w:pPr>
      <w:r>
        <w:bookmarkStart w:id="0" w:name="legend"/>
        <w:bookmarkEnd w:id="0" w:name="legend"/>
      </w:r>
      <w:r>
        <w:t>Legend</w:t>
      </w:r>
    </w:p>
    <w:p>
      <w:pPr>
        <w:spacing w:before="0" w:after="0"/>
      </w:pPr>
      <w:r>
        <w:t>🟢</w:t>
        <w:tab/>
        <w:t>Accurate application</w:t>
      </w:r>
    </w:p>
    <w:p>
      <w:pPr>
        <w:spacing w:before="0" w:after="0"/>
      </w:pPr>
      <w:r>
        <w:t>🟡</w:t>
        <w:tab/>
        <w:t>Minor issues or incomplete application</w:t>
      </w:r>
    </w:p>
    <w:p>
      <w:pPr>
        <w:spacing w:before="0" w:after="0"/>
      </w:pPr>
      <w:r>
        <w:t>🔴</w:t>
        <w:tab/>
        <w:t>Significant problems or overextension</w:t>
      </w:r>
    </w:p>
    <w:p>
      <w:pPr>
        <w:spacing w:before="0" w:after="0"/>
      </w:pPr>
      <w:r>
        <w:t>☠️</w:t>
        <w:tab/>
        <w:t>Serious misrepresentation, fabrication, error, or hallucination</w:t>
      </w:r>
    </w:p>
    <w:p>
      <w:pPr>
        <w:spacing w:before="0" w:after="0"/>
      </w:pPr>
      <w:r>
        <w:t>⚪</w:t>
        <w:tab/>
        <w:t>Opine Deep Research not available (error and hallucination check only)</w:t>
      </w:r>
    </w:p>
    <w:p/>
    <w:tbl>
      <w:tblPr>
        <w:tblW w:type="auto" w:w="0"/>
        <w:tblLook w:firstColumn="1" w:firstRow="1" w:lastColumn="0" w:lastRow="0" w:noHBand="0" w:noVBand="1" w:val="04A0"/>
      </w:tblPr>
      <w:tblGrid>
        <w:gridCol w:w="0"/>
        <w:gridCol w:w="0"/>
        <w:gridCol w:w="0"/>
        <w:gridCol w:w="0"/>
        <w:gridCol w:w="0"/>
        <w:gridCol w:w="0"/>
      </w:tblGrid>
      <w:tr>
        <w:trPr>
          <w:tblHeader/>
        </w:trPr>
        <w:tc>
          <w:tcPr>
            <w:tcW w:type="dxa" w:w="1800"/>
          </w:tcPr>
          <w:p/>
        </w:tc>
        <w:tc>
          <w:tcPr>
            <w:tcW w:type="dxa" w:w="1800"/>
          </w:tcPr>
          <w:p>
            <w:pPr>
              <w:spacing w:before="0" w:after="0" w:line="360" w:lineRule="auto"/>
              <w:jc w:val="center"/>
            </w:pPr>
            <w:r>
              <w:t>🟢</w:t>
            </w:r>
          </w:p>
        </w:tc>
        <w:tc>
          <w:tcPr>
            <w:tcW w:type="dxa" w:w="1800"/>
          </w:tcPr>
          <w:p>
            <w:pPr>
              <w:spacing w:before="0" w:after="0" w:line="360" w:lineRule="auto"/>
              <w:jc w:val="center"/>
            </w:pPr>
            <w:r>
              <w:t>🟡</w:t>
            </w:r>
          </w:p>
        </w:tc>
        <w:tc>
          <w:tcPr>
            <w:tcW w:type="dxa" w:w="1800"/>
          </w:tcPr>
          <w:p>
            <w:pPr>
              <w:spacing w:before="0" w:after="0" w:line="360" w:lineRule="auto"/>
              <w:jc w:val="center"/>
            </w:pPr>
            <w:r>
              <w:t>🔴</w:t>
            </w:r>
          </w:p>
        </w:tc>
        <w:tc>
          <w:tcPr>
            <w:tcW w:type="dxa" w:w="1800"/>
          </w:tcPr>
          <w:p>
            <w:pPr>
              <w:spacing w:before="0" w:after="0" w:line="360" w:lineRule="auto"/>
              <w:jc w:val="center"/>
            </w:pPr>
            <w:r>
              <w:t>☠️</w:t>
            </w:r>
          </w:p>
        </w:tc>
        <w:tc>
          <w:tcPr>
            <w:tcW w:type="dxa" w:w="1800"/>
          </w:tcPr>
          <w:p>
            <w:pPr>
              <w:spacing w:before="0" w:after="0" w:line="360" w:lineRule="auto"/>
              <w:jc w:val="center"/>
            </w:pPr>
            <w:r>
              <w:t>⚪</w:t>
            </w:r>
          </w:p>
        </w:tc>
      </w:tr>
      <w:tr>
        <w:tc>
          <w:tcPr>
            <w:tcW w:type="dxa" w:w="1800"/>
          </w:tcPr>
          <w:p>
            <w:pPr>
              <w:spacing w:before="0" w:after="0" w:line="360" w:lineRule="auto"/>
              <w:jc w:val="left"/>
            </w:pPr>
            <w:r>
              <w:rPr>
                <w:b/>
              </w:rPr>
              <w:t>19 Citations</w:t>
            </w:r>
          </w:p>
        </w:tc>
        <w:tc>
          <w:tcPr>
            <w:tcW w:type="dxa" w:w="1800"/>
          </w:tcPr>
          <w:p>
            <w:pPr>
              <w:spacing w:before="0" w:after="0" w:line="360" w:lineRule="auto"/>
              <w:jc w:val="center"/>
            </w:pPr>
            <w:r>
              <w:t>7</w:t>
            </w:r>
          </w:p>
        </w:tc>
        <w:tc>
          <w:tcPr>
            <w:tcW w:type="dxa" w:w="1800"/>
          </w:tcPr>
          <w:p>
            <w:pPr>
              <w:spacing w:before="0" w:after="0" w:line="360" w:lineRule="auto"/>
              <w:jc w:val="center"/>
            </w:pPr>
            <w:r>
              <w:t>2</w:t>
            </w:r>
          </w:p>
        </w:tc>
        <w:tc>
          <w:tcPr>
            <w:tcW w:type="dxa" w:w="1800"/>
          </w:tcPr>
          <w:p>
            <w:pPr>
              <w:spacing w:before="0" w:after="0" w:line="360" w:lineRule="auto"/>
              <w:jc w:val="center"/>
            </w:pPr>
            <w:r>
              <w:t>2</w:t>
            </w:r>
          </w:p>
        </w:tc>
        <w:tc>
          <w:tcPr>
            <w:tcW w:type="dxa" w:w="1800"/>
          </w:tcPr>
          <w:p>
            <w:pPr>
              <w:spacing w:before="0" w:after="0" w:line="360" w:lineRule="auto"/>
              <w:jc w:val="center"/>
            </w:pPr>
            <w:r>
              <w:t>4</w:t>
            </w:r>
          </w:p>
        </w:tc>
        <w:tc>
          <w:tcPr>
            <w:tcW w:type="dxa" w:w="1800"/>
          </w:tcPr>
          <w:p>
            <w:pPr>
              <w:spacing w:before="0" w:after="0" w:line="360" w:lineRule="auto"/>
              <w:jc w:val="center"/>
            </w:pPr>
            <w:r>
              <w:t>4</w:t>
            </w:r>
          </w:p>
        </w:tc>
      </w:tr>
      <w:tr>
        <w:tc>
          <w:tcPr>
            <w:tcW w:type="dxa" w:w="1800"/>
          </w:tcPr>
          <w:p>
            <w:pPr>
              <w:spacing w:before="0" w:after="0" w:line="360" w:lineRule="auto"/>
              <w:jc w:val="right"/>
            </w:pPr>
            <w:r>
              <w:t>13 Cases</w:t>
            </w:r>
          </w:p>
        </w:tc>
        <w:tc>
          <w:tcPr>
            <w:tcW w:type="dxa" w:w="1800"/>
          </w:tcPr>
          <w:p/>
        </w:tc>
        <w:tc>
          <w:tcPr>
            <w:tcW w:type="dxa" w:w="1800"/>
          </w:tcPr>
          <w:p/>
        </w:tc>
        <w:tc>
          <w:tcPr>
            <w:tcW w:type="dxa" w:w="1800"/>
          </w:tcPr>
          <w:p/>
        </w:tc>
        <w:tc>
          <w:tcPr>
            <w:tcW w:type="dxa" w:w="1800"/>
          </w:tcPr>
          <w:p/>
        </w:tc>
        <w:tc>
          <w:tcPr>
            <w:tcW w:type="dxa" w:w="1800"/>
          </w:tcPr>
          <w:p/>
        </w:tc>
      </w:tr>
      <w:tr>
        <w:tc>
          <w:tcPr>
            <w:tcW w:type="dxa" w:w="1800"/>
          </w:tcPr>
          <w:p>
            <w:pPr>
              <w:spacing w:before="0" w:after="0" w:line="360" w:lineRule="auto"/>
              <w:jc w:val="right"/>
            </w:pPr>
            <w:r>
              <w:t>6 Statutes</w:t>
            </w:r>
          </w:p>
        </w:tc>
        <w:tc>
          <w:tcPr>
            <w:tcW w:type="dxa" w:w="1800"/>
          </w:tcPr>
          <w:p/>
        </w:tc>
        <w:tc>
          <w:tcPr>
            <w:tcW w:type="dxa" w:w="1800"/>
          </w:tcPr>
          <w:p/>
        </w:tc>
        <w:tc>
          <w:tcPr>
            <w:tcW w:type="dxa" w:w="1800"/>
          </w:tcPr>
          <w:p/>
        </w:tc>
        <w:tc>
          <w:tcPr>
            <w:tcW w:type="dxa" w:w="1800"/>
          </w:tcPr>
          <w:p/>
        </w:tc>
        <w:tc>
          <w:tcPr>
            <w:tcW w:type="dxa" w:w="1800"/>
          </w:tcPr>
          <w:p/>
        </w:tc>
      </w:tr>
      <w:tr>
        <w:tc>
          <w:tcPr>
            <w:tcW w:type="dxa" w:w="1800"/>
          </w:tcPr>
          <w:p>
            <w:pPr>
              <w:spacing w:before="0" w:after="0" w:line="360" w:lineRule="auto"/>
              <w:jc w:val="left"/>
            </w:pPr>
            <w:r>
              <w:rPr>
                <w:b/>
              </w:rPr>
              <w:t>4 Quotes</w:t>
            </w:r>
          </w:p>
        </w:tc>
        <w:tc>
          <w:tcPr>
            <w:tcW w:type="dxa" w:w="1800"/>
          </w:tcPr>
          <w:p>
            <w:pPr>
              <w:spacing w:before="0" w:after="0" w:line="360" w:lineRule="auto"/>
              <w:jc w:val="center"/>
            </w:pPr>
            <w:r>
              <w:t>4</w:t>
            </w:r>
          </w:p>
        </w:tc>
        <w:tc>
          <w:tcPr>
            <w:tcW w:type="dxa" w:w="1800"/>
          </w:tcPr>
          <w:p>
            <w:pPr>
              <w:spacing w:before="0" w:after="0" w:line="360" w:lineRule="auto"/>
              <w:jc w:val="center"/>
            </w:pPr>
            <w:r>
              <w:t>0</w:t>
            </w:r>
          </w:p>
        </w:tc>
        <w:tc>
          <w:tcPr>
            <w:tcW w:type="dxa" w:w="1800"/>
          </w:tcPr>
          <w:p>
            <w:pPr>
              <w:spacing w:before="0" w:after="0" w:line="360" w:lineRule="auto"/>
              <w:jc w:val="center"/>
            </w:pPr>
            <w:r>
              <w:t>0</w:t>
            </w:r>
          </w:p>
        </w:tc>
        <w:tc>
          <w:tcPr>
            <w:tcW w:type="dxa" w:w="1800"/>
          </w:tcPr>
          <w:p>
            <w:pPr>
              <w:spacing w:before="0" w:after="0" w:line="360" w:lineRule="auto"/>
              <w:jc w:val="center"/>
            </w:pPr>
            <w:r>
              <w:t>0</w:t>
            </w:r>
          </w:p>
        </w:tc>
        <w:tc>
          <w:tcPr>
            <w:tcW w:type="dxa" w:w="1800"/>
          </w:tcPr>
          <w:p>
            <w:pPr>
              <w:spacing w:before="0" w:after="0" w:line="360" w:lineRule="auto"/>
              <w:jc w:val="center"/>
            </w:pPr>
            <w:r>
              <w:t>0</w:t>
            </w:r>
          </w:p>
        </w:tc>
      </w:tr>
      <w:tr>
        <w:tc>
          <w:tcPr>
            <w:tcW w:type="dxa" w:w="1800"/>
          </w:tcPr>
          <w:p>
            <w:pPr>
              <w:spacing w:before="0" w:after="0" w:line="360" w:lineRule="auto"/>
              <w:jc w:val="right"/>
            </w:pPr>
            <w:r>
              <w:t>4 Cases</w:t>
            </w:r>
          </w:p>
        </w:tc>
        <w:tc>
          <w:tcPr>
            <w:tcW w:type="dxa" w:w="1800"/>
          </w:tcPr>
          <w:p/>
        </w:tc>
        <w:tc>
          <w:tcPr>
            <w:tcW w:type="dxa" w:w="1800"/>
          </w:tcPr>
          <w:p/>
        </w:tc>
        <w:tc>
          <w:tcPr>
            <w:tcW w:type="dxa" w:w="1800"/>
          </w:tcPr>
          <w:p/>
        </w:tc>
        <w:tc>
          <w:tcPr>
            <w:tcW w:type="dxa" w:w="1800"/>
          </w:tcPr>
          <w:p/>
        </w:tc>
        <w:tc>
          <w:tcPr>
            <w:tcW w:type="dxa" w:w="1800"/>
          </w:tcPr>
          <w:p/>
        </w:tc>
      </w:tr>
      <w:tr>
        <w:tc>
          <w:tcPr>
            <w:tcW w:type="dxa" w:w="1800"/>
          </w:tcPr>
          <w:p>
            <w:pPr>
              <w:spacing w:before="0" w:after="0" w:line="360" w:lineRule="auto"/>
              <w:jc w:val="left"/>
            </w:pPr>
            <w:r>
              <w:t>No Statutes were found</w:t>
            </w:r>
          </w:p>
        </w:tc>
        <w:tc>
          <w:tcPr>
            <w:tcW w:type="dxa" w:w="1800"/>
          </w:tcPr>
          <w:p/>
        </w:tc>
        <w:tc>
          <w:tcPr>
            <w:tcW w:type="dxa" w:w="1800"/>
          </w:tcPr>
          <w:p/>
        </w:tc>
        <w:tc>
          <w:tcPr>
            <w:tcW w:type="dxa" w:w="1800"/>
          </w:tcPr>
          <w:p/>
        </w:tc>
        <w:tc>
          <w:tcPr>
            <w:tcW w:type="dxa" w:w="1800"/>
          </w:tcPr>
          <w:p/>
        </w:tc>
        <w:tc>
          <w:tcPr>
            <w:tcW w:type="dxa" w:w="1800"/>
          </w:tcPr>
          <w:p/>
        </w:tc>
      </w:tr>
    </w:tbl>
    <w:p>
      <w:r>
        <w:br w:type="page"/>
      </w:r>
    </w:p>
    <w:p>
      <w:pPr>
        <w:pStyle w:val="TriageReport"/>
      </w:pPr>
      <w:r>
        <w:t>Triage Report</w:t>
      </w:r>
    </w:p>
    <w:p>
      <w:pPr>
        <w:pStyle w:val="Heading2"/>
      </w:pPr>
      <w:r>
        <w:bookmarkStart w:id="2" w:name="seriousissues"/>
        <w:bookmarkEnd w:id="2" w:name="seriousissues"/>
      </w:r>
      <w:r>
        <w:t>Serious Issues</w:t>
      </w:r>
    </w:p>
    <w:p>
      <w:pPr>
        <w:pStyle w:val="Heading4"/>
      </w:pPr>
      <w:r>
        <w:t>Statutes</w:t>
      </w:r>
    </w:p>
    <w:p>
      <w:pPr>
        <w:spacing w:before="0" w:after="0"/>
      </w:pPr>
      <w:r>
        <w:t xml:space="preserve">☠️ </w:t>
      </w:r>
      <w:hyperlink w:anchor="unitedstates10">
        <w:r>
          <w:rPr/>
          <w:t xml:space="preserve">United States Code § 1447</w:t>
        </w:r>
      </w:hyperlink>
    </w:p>
    <w:p>
      <w:pPr>
        <w:spacing w:before="0" w:after="0"/>
      </w:pPr>
      <w:r>
        <w:t xml:space="preserve">☠️ </w:t>
      </w:r>
      <w:hyperlink w:anchor="unitedstates11">
        <w:r>
          <w:rPr/>
          <w:t xml:space="preserve">United States Code § 1332</w:t>
        </w:r>
      </w:hyperlink>
    </w:p>
    <w:p>
      <w:pPr>
        <w:spacing w:before="0" w:after="0"/>
      </w:pPr>
      <w:r>
        <w:t xml:space="preserve">☠️ </w:t>
      </w:r>
      <w:hyperlink w:anchor="unitedstates12">
        <w:r>
          <w:rPr/>
          <w:t xml:space="preserve">United States Code § 1441</w:t>
        </w:r>
      </w:hyperlink>
    </w:p>
    <w:p>
      <w:pPr>
        <w:spacing w:before="0" w:after="0"/>
      </w:pPr>
      <w:r>
        <w:t xml:space="preserve">☠️ </w:t>
      </w:r>
      <w:hyperlink w:anchor="unitedstates13">
        <w:r>
          <w:rPr/>
          <w:t xml:space="preserve">United States Code § 1331</w:t>
        </w:r>
      </w:hyperlink>
    </w:p>
    <w:p>
      <w:pPr>
        <w:pStyle w:val="Heading2"/>
      </w:pPr>
      <w:r>
        <w:bookmarkStart w:id="4" w:name="significantissues"/>
        <w:bookmarkEnd w:id="4" w:name="significantissues"/>
      </w:r>
      <w:r>
        <w:t>Significant Issues</w:t>
      </w:r>
    </w:p>
    <w:p>
      <w:pPr>
        <w:pStyle w:val="Heading4"/>
      </w:pPr>
      <w:r>
        <w:t>Cases</w:t>
      </w:r>
    </w:p>
    <w:p>
      <w:pPr>
        <w:spacing w:before="0" w:after="0"/>
      </w:pPr>
      <w:r>
        <w:t xml:space="preserve">🔴 </w:t>
      </w:r>
      <w:hyperlink w:anchor="newgenllcvsa14">
        <w:r>
          <w:rPr/>
          <w:t xml:space="preserve">NewGen, LLC v. Safe Cig, LLC 840 F.3d 606</w:t>
        </w:r>
      </w:hyperlink>
    </w:p>
    <w:p>
      <w:pPr>
        <w:spacing w:before="0" w:after="0"/>
      </w:pPr>
      <w:r>
        <w:t xml:space="preserve">🔴 </w:t>
      </w:r>
      <w:hyperlink w:anchor="ehrmanvcoxco15">
        <w:r>
          <w:rPr/>
          <w:t xml:space="preserve">Ehrman v. Cox Commc’ns, Inc. 932 F.3d 1223</w:t>
        </w:r>
      </w:hyperlink>
    </w:p>
    <w:p>
      <w:pPr>
        <w:pStyle w:val="Heading2"/>
      </w:pPr>
      <w:r>
        <w:bookmarkStart w:id="6" w:name="minorissues"/>
        <w:bookmarkEnd w:id="6" w:name="minorissues"/>
      </w:r>
      <w:r>
        <w:t>Minor Issues</w:t>
      </w:r>
    </w:p>
    <w:p>
      <w:pPr>
        <w:pStyle w:val="Heading4"/>
      </w:pPr>
      <w:r>
        <w:t>Cases</w:t>
      </w:r>
    </w:p>
    <w:p>
      <w:pPr>
        <w:spacing w:before="0" w:after="0"/>
      </w:pPr>
      <w:r>
        <w:t xml:space="preserve">🟡 </w:t>
      </w:r>
      <w:hyperlink w:anchor="kantervwarne16">
        <w:r>
          <w:rPr/>
          <w:t xml:space="preserve">Kanter v. Warner-Lambert Co. 265 F.3d 853</w:t>
        </w:r>
      </w:hyperlink>
    </w:p>
    <w:p>
      <w:pPr>
        <w:spacing w:before="0" w:after="0"/>
      </w:pPr>
      <w:r>
        <w:t xml:space="preserve">🟡 </w:t>
      </w:r>
      <w:hyperlink w:anchor="livelyvwildo17">
        <w:r>
          <w:rPr/>
          <w:t xml:space="preserve">Lively v. Wild Oats Mkts., Inc. 456 F.3d 933</w:t>
        </w:r>
      </w:hyperlink>
    </w:p>
    <w:p>
      <w:pPr>
        <w:pStyle w:val="Heading2"/>
      </w:pPr>
      <w:r>
        <w:bookmarkStart w:id="8" w:name="accurate"/>
        <w:bookmarkEnd w:id="8" w:name="accurate"/>
      </w:r>
      <w:r>
        <w:t>Accurate</w:t>
      </w:r>
    </w:p>
    <w:p>
      <w:pPr>
        <w:pStyle w:val="Heading4"/>
      </w:pPr>
      <w:r>
        <w:t>Cases</w:t>
      </w:r>
    </w:p>
    <w:p>
      <w:pPr>
        <w:spacing w:before="0" w:after="0"/>
      </w:pPr>
      <w:r>
        <w:t xml:space="preserve">🟢 </w:t>
      </w:r>
      <w:hyperlink w:anchor="kokkonenvgua18">
        <w:r>
          <w:rPr/>
          <w:t xml:space="preserve">Kokkonen v. Guardian Life Ins. Co. of Am. 511 U.S. 375</w:t>
        </w:r>
      </w:hyperlink>
    </w:p>
    <w:p>
      <w:pPr>
        <w:spacing w:before="0" w:after="0"/>
      </w:pPr>
      <w:r>
        <w:t xml:space="preserve">        </w:t>
      </w:r>
      <w:hyperlink w:anchor="kokkonenvgua19">
        <w:r>
          <w:rPr/>
          <w:t xml:space="preserve">🟢 2 Quotes</w:t>
        </w:r>
      </w:hyperlink>
    </w:p>
    <w:p>
      <w:pPr>
        <w:spacing w:before="0" w:after="0"/>
      </w:pPr>
      <w:r>
        <w:t xml:space="preserve">🟢 </w:t>
      </w:r>
      <w:hyperlink w:anchor="johnsonvcolu20">
        <w:r>
          <w:rPr/>
          <w:t xml:space="preserve">Johnson v. Columbia Props. Anchorage, LP 437 F.3d 894</w:t>
        </w:r>
      </w:hyperlink>
    </w:p>
    <w:p>
      <w:pPr>
        <w:spacing w:before="0" w:after="0"/>
      </w:pPr>
      <w:r>
        <w:t xml:space="preserve">🟢 </w:t>
      </w:r>
      <w:hyperlink w:anchor="grupodataflu21">
        <w:r>
          <w:rPr/>
          <w:t xml:space="preserve">Grupo Dataflux v. Atlas Global Grp., L.P. 541 U.S. 567</w:t>
        </w:r>
      </w:hyperlink>
    </w:p>
    <w:p>
      <w:pPr>
        <w:spacing w:before="0" w:after="0"/>
      </w:pPr>
      <w:r>
        <w:t xml:space="preserve">🟢 </w:t>
      </w:r>
      <w:hyperlink w:anchor="caterpillari22">
        <w:r>
          <w:rPr/>
          <w:t xml:space="preserve">Caterpillar Inc. v. Lewis 519 U.S. 61</w:t>
        </w:r>
      </w:hyperlink>
    </w:p>
    <w:p>
      <w:pPr>
        <w:spacing w:before="0" w:after="0"/>
      </w:pPr>
      <w:r>
        <w:t xml:space="preserve">🟢 </w:t>
      </w:r>
      <w:hyperlink w:anchor="caterpillari23">
        <w:r>
          <w:rPr/>
          <w:t xml:space="preserve">Caterpillar Inc. v. Williams 482 U.S. 386</w:t>
        </w:r>
      </w:hyperlink>
    </w:p>
    <w:p>
      <w:pPr>
        <w:spacing w:before="0" w:after="0"/>
      </w:pPr>
      <w:r>
        <w:t xml:space="preserve">        </w:t>
      </w:r>
      <w:hyperlink w:anchor="caterpillari24">
        <w:r>
          <w:rPr/>
          <w:t xml:space="preserve">🟢 1 Quote</w:t>
        </w:r>
      </w:hyperlink>
    </w:p>
    <w:p>
      <w:pPr>
        <w:spacing w:before="0" w:after="0"/>
      </w:pPr>
      <w:r>
        <w:t xml:space="preserve">🟢 </w:t>
      </w:r>
      <w:hyperlink w:anchor="rainsvcriter25">
        <w:r>
          <w:rPr/>
          <w:t xml:space="preserve">Rains v. Criterion Sys., Inc. 80 F.3d 339</w:t>
        </w:r>
      </w:hyperlink>
    </w:p>
    <w:p>
      <w:pPr>
        <w:spacing w:before="0" w:after="0"/>
      </w:pPr>
      <w:r>
        <w:t xml:space="preserve">🟢 </w:t>
      </w:r>
      <w:hyperlink w:anchor="martinvfrank26">
        <w:r>
          <w:rPr/>
          <w:t xml:space="preserve">Martin v. Franklin Capital Corp. 546 U.S. 132</w:t>
        </w:r>
      </w:hyperlink>
    </w:p>
    <w:p>
      <w:pPr>
        <w:spacing w:before="0" w:after="0"/>
      </w:pPr>
      <w:r>
        <w:t xml:space="preserve">        </w:t>
      </w:r>
      <w:hyperlink w:anchor="martinvfrank27">
        <w:r>
          <w:rPr/>
          <w:t xml:space="preserve">🟢 1 Quote</w:t>
        </w:r>
      </w:hyperlink>
    </w:p>
    <w:p>
      <w:pPr>
        <w:pStyle w:val="Heading2"/>
      </w:pPr>
      <w:r>
        <w:bookmarkStart w:id="10" w:name="unavailable"/>
        <w:bookmarkEnd w:id="10" w:name="unavailable"/>
      </w:r>
      <w:r>
        <w:t>Unavailable</w:t>
      </w:r>
    </w:p>
    <w:p>
      <w:pPr>
        <w:pStyle w:val="Heading4"/>
      </w:pPr>
      <w:r>
        <w:t>Cases</w:t>
      </w:r>
    </w:p>
    <w:p>
      <w:pPr>
        <w:spacing w:before="0" w:after="0"/>
      </w:pPr>
      <w:r>
        <w:t xml:space="preserve">⚪ </w:t>
      </w:r>
      <w:hyperlink w:anchor="gausvmilesin28">
        <w:r>
          <w:rPr/>
          <w:t xml:space="preserve">Gaus v. Miles, Inc. 980 F.2d 564</w:t>
        </w:r>
      </w:hyperlink>
    </w:p>
    <w:p>
      <w:pPr>
        <w:spacing w:before="0" w:after="0"/>
      </w:pPr>
      <w:r>
        <w:t xml:space="preserve">⚪ </w:t>
      </w:r>
      <w:hyperlink w:anchor="herrickvttet29">
        <w:r>
          <w:rPr/>
          <w:t xml:space="preserve">Herrick v. TTE Tech., Inc. No. 5:25-cv-00945</w:t>
        </w:r>
      </w:hyperlink>
    </w:p>
    <w:p>
      <w:pPr>
        <w:pStyle w:val="Heading4"/>
      </w:pPr>
      <w:r>
        <w:t>Statutes</w:t>
      </w:r>
    </w:p>
    <w:p>
      <w:pPr>
        <w:spacing w:before="0" w:after="0"/>
      </w:pPr>
      <w:r>
        <w:t xml:space="preserve">⚪ </w:t>
      </w:r>
      <w:hyperlink w:anchor="californiaco30">
        <w:r>
          <w:rPr/>
          <w:t xml:space="preserve">California Code of Civil Procedure § 526</w:t>
        </w:r>
      </w:hyperlink>
    </w:p>
    <w:p>
      <w:pPr>
        <w:spacing w:before="0" w:after="0"/>
      </w:pPr>
      <w:r>
        <w:t xml:space="preserve">⚪ </w:t>
      </w:r>
      <w:hyperlink w:anchor="californiaco31">
        <w:r>
          <w:rPr/>
          <w:t xml:space="preserve">California Code of Civil Procedure § 1161</w:t>
        </w:r>
      </w:hyperlink>
    </w:p>
    <w:p>
      <w:r>
        <w:br w:type="page"/>
      </w:r>
    </w:p>
    <w:p>
      <w:pPr>
        <w:pStyle w:val="TriageReport"/>
      </w:pPr>
      <w:r>
        <w:t>Citation Reports</w:t>
      </w:r>
    </w:p>
    <w:p>
      <w:pPr>
        <w:spacing w:before="0" w:after="0"/>
      </w:pPr>
      <w:r/>
      <w:hyperlink w:anchor="seriousissues">
        <w:r>
          <w:rPr/>
          <w:t xml:space="preserve">↑ Triage</w:t>
        </w:r>
      </w:hyperlink>
    </w:p>
    <w:p>
      <w:pPr>
        <w:pStyle w:val="Heading3"/>
      </w:pPr>
      <w:r>
        <w:bookmarkStart w:id="14" w:name="unitedstates10"/>
        <w:bookmarkEnd w:id="14" w:name="unitedstates10"/>
      </w:r>
      <w:r>
        <w:t>United States Code § 1447</w:t>
      </w:r>
    </w:p>
    <w:p>
      <w:pPr>
        <w:pStyle w:val="Quote"/>
      </w:pPr>
      <w:r>
        <w:t xml:space="preserve">⚠️ </w:t>
      </w:r>
      <w:r>
        <w:rPr>
          <w:b/>
        </w:rPr>
        <w:t>This citation appears to be fabricated or a hallucination. Further review is recommended.</w:t>
      </w:r>
    </w:p>
    <w:p>
      <w:pPr>
        <w:spacing w:before="240" w:after="240"/>
      </w:pPr>
      <w:r>
        <w:rPr>
          <w:b/>
          <w:i/>
          <w:color w:val="3A0517"/>
        </w:rPr>
        <w:t>Use of Citation</w:t>
      </w:r>
      <w:r>
        <w:t xml:space="preserve"> ☠️</w:t>
      </w:r>
    </w:p>
    <w:p>
      <w:pPr>
        <w:spacing w:before="0" w:after="0"/>
      </w:pPr>
      <w:r>
        <w:t>PLAINTIFF’S NOTICE OF MOTION AND MOTION TO REMAND cites 28 U.S.C. § 1447, specifically subsection (c), as the primary procedural and substantive authority for its request to return the case to the Superior Court of California (p. 1). The document uses this statute to support the legal proposition that remand is mandatory when a federal court lacks subject-matter jurisdiction (p. 2, 4). In the context of this litigation, Plaintiff Zeus Realty Group LLC argues that the Defendant failed to establish complete diversity of citizenship and that the First Amended Complaint presents no federal question, thereby triggering the mandatory remand provision of § 1447(c) (p. 2-3). The motion employs analogical reasoning by pairing the statutory mandate of § 1447(c) with the 'strong presumption' against removal jurisdiction found in Gaus v. Miles, Inc., emphasizing that the removing party bears the burden of proof and that any doubt must lead to remand (p. 4). Additionally, the Plaintiff cites § 1447 as the basis for seeking an award of attorney fees and costs incurred due to the improper removal, referencing the 'objectively reasonable' standard established in Martin v. Franklin Capital Corp. (p. 8). The statutory rules of § 1447(c) are interpreted as requiring a mandatory rejection of federal jurisdiction if the removing party fails to identify the citizenship of its members or otherwise fails to establish the requirements for diversity or federal-question jurisdiction (p. 4-5, 8).</w:t>
      </w:r>
    </w:p>
    <w:p>
      <w:pPr>
        <w:spacing w:before="240" w:after="240"/>
      </w:pPr>
      <w:r>
        <w:rPr>
          <w:b/>
          <w:i/>
          <w:color w:val="3A0517"/>
        </w:rPr>
        <w:t>Accuracy Review</w:t>
      </w:r>
    </w:p>
    <w:p>
      <w:pPr>
        <w:spacing w:before="0" w:after="0"/>
      </w:pPr>
      <w:r>
        <w:t>Accuracy Review is not available for this rating level.</w:t>
      </w:r>
    </w:p>
    <w:p>
      <w:r>
        <w:br w:type="page"/>
      </w:r>
    </w:p>
    <w:p>
      <w:pPr>
        <w:spacing w:before="0" w:after="0"/>
      </w:pPr>
      <w:r/>
      <w:hyperlink w:anchor="seriousissues">
        <w:r>
          <w:rPr/>
          <w:t xml:space="preserve">↑ Triage</w:t>
        </w:r>
      </w:hyperlink>
    </w:p>
    <w:p>
      <w:pPr>
        <w:pStyle w:val="Heading3"/>
      </w:pPr>
      <w:r>
        <w:bookmarkStart w:id="15" w:name="unitedstates11"/>
        <w:bookmarkEnd w:id="15" w:name="unitedstates11"/>
      </w:r>
      <w:r>
        <w:t>United States Code § 1332</w:t>
      </w:r>
    </w:p>
    <w:p>
      <w:pPr>
        <w:pStyle w:val="Quote"/>
      </w:pPr>
      <w:r>
        <w:t xml:space="preserve">⚠️ </w:t>
      </w:r>
      <w:r>
        <w:rPr>
          <w:b/>
        </w:rPr>
        <w:t>This citation appears to be fabricated or a hallucination. Further review is recommended.</w:t>
      </w:r>
    </w:p>
    <w:p>
      <w:pPr>
        <w:spacing w:before="240" w:after="240"/>
      </w:pPr>
      <w:r>
        <w:rPr>
          <w:b/>
          <w:i/>
          <w:color w:val="3A0517"/>
        </w:rPr>
        <w:t>Use of Citation</w:t>
      </w:r>
      <w:r>
        <w:t xml:space="preserve"> ☠️</w:t>
      </w:r>
    </w:p>
    <w:p>
      <w:pPr>
        <w:spacing w:before="0" w:after="0"/>
      </w:pPr>
      <w:r>
        <w:t>The document cites 28 U.S.C. § 1332(a) to define the requirements for federal subject-matter jurisdiction based on diversity of citizenship. It is used to support the legal rule that diversity jurisdiction requires two conjunctive elements: (1) complete diversity of citizenship between the parties and (2) an amount in controversy exceeding $75,000 (p. 6). The Plaintiff cites this statute to argue that the Defendant's removal of the case was improper because the Defendant failed to establish the first requirement (p. 2). In the context of this litigation, the Plaintiff asserts that because its sole member is a citizen of California, the Defendant—also an LLC—was required to prove that none of its own members are citizens of California to satisfy the diversity requirement of § 1332 (p. 4-5). The document employs analogical reasoning by citing Johnson v. Columbia Props. Anchorage, LP to explain that an LLC's citizenship is derived from its members, and Caterpillar Inc. v. Lewis to establish that jurisdiction is absent if complete diversity is lacking, regardless of the amount in controversy (p. 4, 6). The statutory rules of § 1332 are interpreted as mandatory and strictly construed; the removing party bears the burden of proof, and any doubt regarding the right of removal under the statute requires the court to reject jurisdiction and remand the case (p. 4).</w:t>
      </w:r>
    </w:p>
    <w:p>
      <w:pPr>
        <w:spacing w:before="240" w:after="240"/>
      </w:pPr>
      <w:r>
        <w:rPr>
          <w:b/>
          <w:i/>
          <w:color w:val="3A0517"/>
        </w:rPr>
        <w:t>Accuracy Review</w:t>
      </w:r>
    </w:p>
    <w:p>
      <w:pPr>
        <w:spacing w:before="0" w:after="0"/>
      </w:pPr>
      <w:r>
        <w:t>Accuracy Review is not available for this rating level.</w:t>
      </w:r>
    </w:p>
    <w:p>
      <w:r>
        <w:br w:type="page"/>
      </w:r>
    </w:p>
    <w:p>
      <w:pPr>
        <w:spacing w:before="0" w:after="0"/>
      </w:pPr>
      <w:r/>
      <w:hyperlink w:anchor="seriousissues">
        <w:r>
          <w:rPr/>
          <w:t xml:space="preserve">↑ Triage</w:t>
        </w:r>
      </w:hyperlink>
    </w:p>
    <w:p>
      <w:pPr>
        <w:pStyle w:val="Heading3"/>
      </w:pPr>
      <w:r>
        <w:bookmarkStart w:id="16" w:name="unitedstates12"/>
        <w:bookmarkEnd w:id="16" w:name="unitedstates12"/>
      </w:r>
      <w:r>
        <w:t>United States Code § 1441</w:t>
      </w:r>
    </w:p>
    <w:p>
      <w:pPr>
        <w:pStyle w:val="Quote"/>
      </w:pPr>
      <w:r>
        <w:t xml:space="preserve">⚠️ </w:t>
      </w:r>
      <w:r>
        <w:rPr>
          <w:b/>
        </w:rPr>
        <w:t>This citation appears to be fabricated or a hallucination. Further review is recommended.</w:t>
      </w:r>
    </w:p>
    <w:p>
      <w:pPr>
        <w:spacing w:before="240" w:after="240"/>
      </w:pPr>
      <w:r>
        <w:rPr>
          <w:b/>
          <w:i/>
          <w:color w:val="3A0517"/>
        </w:rPr>
        <w:t>Use of Citation</w:t>
      </w:r>
      <w:r>
        <w:t xml:space="preserve"> ☠️</w:t>
      </w:r>
    </w:p>
    <w:p>
      <w:pPr>
        <w:spacing w:before="0" w:after="0"/>
      </w:pPr>
      <w:r>
        <w:t>Plaintiff cites 28 U.S.C. § 1441 to establish the legal framework and limitations for removing a case from state to federal court. Specifically, § 1441(a) is cited for the proposition that a defendant may remove an action only if the federal court could have exercised original jurisdiction over the matter in the first instance (p. 4). In this case, Plaintiff argues that the Defendant failed to meet its burden under this section because it did not establish complete diversity of citizenship or a federal question (p. 2, 4). The document interprets § 1441 strictly, noting a strong presumption against removal jurisdiction and requiring that any doubt be resolved in favor of remand (p. 4). This interpretation is supported by citations to Gaus v. Miles, Inc. regarding the burden of proof and Kokkonen v. Guardian Life Ins. Co. of Am. regarding the limited nature of federal jurisdiction (p. 4). Furthermore, Plaintiff cites § 1441(b)(2) to support the forum-defendant rule, which provides that an action cannot be removed on diversity grounds if any properly joined defendant is a citizen of the forum state (p. 5). Plaintiff employs analogical reasoning by citing Lively v. Wild Oats Mkts., Inc. to assert that the Defendant bears the burden of proving this rule does not apply, a burden the Defendant allegedly failed to meet by remaining silent on the citizenship of its members (p. 5).</w:t>
      </w:r>
    </w:p>
    <w:p>
      <w:pPr>
        <w:spacing w:before="240" w:after="240"/>
      </w:pPr>
      <w:r>
        <w:rPr>
          <w:b/>
          <w:i/>
          <w:color w:val="3A0517"/>
        </w:rPr>
        <w:t>Accuracy Review</w:t>
      </w:r>
    </w:p>
    <w:p>
      <w:pPr>
        <w:spacing w:before="0" w:after="0"/>
      </w:pPr>
      <w:r>
        <w:t>Accuracy Review is not available for this rating level.</w:t>
      </w:r>
    </w:p>
    <w:p>
      <w:r>
        <w:br w:type="page"/>
      </w:r>
    </w:p>
    <w:p>
      <w:pPr>
        <w:spacing w:before="0" w:after="0"/>
      </w:pPr>
      <w:r/>
      <w:hyperlink w:anchor="seriousissues">
        <w:r>
          <w:rPr/>
          <w:t xml:space="preserve">↑ Triage</w:t>
        </w:r>
      </w:hyperlink>
    </w:p>
    <w:p>
      <w:pPr>
        <w:pStyle w:val="Heading3"/>
      </w:pPr>
      <w:r>
        <w:bookmarkStart w:id="17" w:name="unitedstates13"/>
        <w:bookmarkEnd w:id="17" w:name="unitedstates13"/>
      </w:r>
      <w:r>
        <w:t>United States Code § 1331</w:t>
      </w:r>
    </w:p>
    <w:p>
      <w:pPr>
        <w:pStyle w:val="Quote"/>
      </w:pPr>
      <w:r>
        <w:t xml:space="preserve">⚠️ </w:t>
      </w:r>
      <w:r>
        <w:rPr>
          <w:b/>
        </w:rPr>
        <w:t>This citation appears to be fabricated or a hallucination. Further review is recommended.</w:t>
      </w:r>
    </w:p>
    <w:p>
      <w:pPr>
        <w:spacing w:before="240" w:after="240"/>
      </w:pPr>
      <w:r>
        <w:rPr>
          <w:b/>
          <w:i/>
          <w:color w:val="3A0517"/>
        </w:rPr>
        <w:t>Use of Citation</w:t>
      </w:r>
      <w:r>
        <w:t xml:space="preserve"> ☠️</w:t>
      </w:r>
    </w:p>
    <w:p>
      <w:pPr>
        <w:spacing w:before="0" w:after="0"/>
      </w:pPr>
      <w:r>
        <w:t>The document cites 28 U.S.C. § 1331 to support the proposition that federal-question jurisdiction is absent in this matter because the Plaintiff's claims are based exclusively on state law (p. 7). Under the 'well-pleaded complaint' rule, federal-question jurisdiction exists only when a federal issue appears on the face of the complaint, allowing the plaintiff to be the 'master of the claim' and avoid federal jurisdiction by relying solely on state law (p. 6). In this case, the First Amended Complaint (FAC) asserts twelve causes of action under California statutory and common law, such as breach of lease and fraudulent concealment, without invoking any federal statute, regulation, or remedy (pp. 3, 7). The document employs analogical reasoning by citing Caterpillar Inc. v. Williams to establish that a court may not recharacterize state-law claims to infer a federal claim (p. 6). It also references Rains v. Criterion Sys., Inc. to argue that if a claim is supported by independent state-law theories, federal law is not a 'necessary element' of the claim, and thus jurisdiction under § 1331 does not attach (pp. 6-7). The statutory rules of § 1331 are interpreted to require that a federal issue be essential to the claim as pleaded; since the Defendant's Notice of Removal focused on diversity and the FAC relies on state law, the Plaintiff concludes there is no jurisdiction under 28 U.S.C. § 1331 (p. 7).</w:t>
      </w:r>
    </w:p>
    <w:p>
      <w:pPr>
        <w:spacing w:before="240" w:after="240"/>
      </w:pPr>
      <w:r>
        <w:rPr>
          <w:b/>
          <w:i/>
          <w:color w:val="3A0517"/>
        </w:rPr>
        <w:t>Accuracy Review</w:t>
      </w:r>
    </w:p>
    <w:p>
      <w:pPr>
        <w:spacing w:before="0" w:after="0"/>
      </w:pPr>
      <w:r>
        <w:t>Accuracy Review is not available for this rating level.</w:t>
      </w:r>
    </w:p>
    <w:p>
      <w:r>
        <w:br w:type="page"/>
      </w:r>
    </w:p>
    <w:p>
      <w:pPr>
        <w:spacing w:before="0" w:after="0"/>
      </w:pPr>
      <w:r/>
      <w:hyperlink w:anchor="significantissues">
        <w:r>
          <w:rPr/>
          <w:t xml:space="preserve">↑ Triage</w:t>
        </w:r>
      </w:hyperlink>
    </w:p>
    <w:p>
      <w:pPr>
        <w:pStyle w:val="Heading3"/>
      </w:pPr>
      <w:r>
        <w:bookmarkStart w:id="18" w:name="newgenllcvsa14"/>
        <w:bookmarkEnd w:id="18" w:name="newgenllcvsa14"/>
      </w:r>
      <w:r>
        <w:t>NewGen, LLC v. Safe Cig, LLC 840 F.3d 606</w:t>
      </w:r>
    </w:p>
    <w:p>
      <w:pPr>
        <w:spacing w:before="240" w:after="240"/>
      </w:pPr>
      <w:r>
        <w:rPr>
          <w:b/>
          <w:i/>
          <w:color w:val="3A0517"/>
        </w:rPr>
        <w:t>Use of Citation</w:t>
      </w:r>
      <w:r>
        <w:t xml:space="preserve"> 🔴</w:t>
      </w:r>
    </w:p>
    <w:p>
      <w:pPr>
        <w:spacing w:before="0" w:after="0"/>
      </w:pPr>
      <w:r>
        <w:t>The document cites NewGen, LLC v. Safe Cig, LLC, 840 F.3d 606 (9th Cir. 2016) to support several critical legal rules regarding federal subject-matter jurisdiction in the context of limited liability companies (LLCs). First, it is cited for the proposition that in diversity cases involving LLCs, the removing party bears the burden of pleading the citizenship of each individual member, and a failure to meet this burden necessitates a remand to state court (p. 4). Second, the document uses NewGen to support the rule that jurisdictional allegations made solely upon 'information and belief' regarding the citizenship of members are legally insufficient to establish diversity jurisdiction (p. 5). The context of these citations is the Plaintiff's argument that the Defendant, 1032 N. Sycamore Owner (LA), LLC, failed to carry its burden of establishing complete diversity because its Notice of Removal did not identify its members or their specific states of citizenship, instead alleging only that none of its members were citizens of Wyoming (p. 5). The document interprets NewGen as establishing a mandatory requirement for specific factual pleading of LLC membership citizenship at the time of removal. It applies these legal concepts directly to the facts of the case, arguing that because the Defendant's removal papers suffer from the exact types of pleading deficiencies addressed in NewGen—specifically the failure to identify members and the reliance on information and belief—the court lacks jurisdiction and must remand the action (p. 5).</w:t>
      </w:r>
    </w:p>
    <w:p>
      <w:pPr>
        <w:spacing w:before="240" w:after="240"/>
      </w:pPr>
      <w:r>
        <w:rPr>
          <w:b/>
          <w:i/>
          <w:color w:val="3A0517"/>
        </w:rPr>
        <w:t>Accuracy Review</w:t>
      </w:r>
    </w:p>
    <w:p>
      <w:pPr>
        <w:spacing w:before="0" w:after="0"/>
      </w:pPr>
      <w:r>
        <w:t>The Motion to Remand involves a significant mischaracterization and incomplete application of NewGen, LLC v. Safe Cig, LLC. While the Motion correctly cites NewGen for the substantive rule that an LLC's citizenship is determined by its members, it misrepresents the procedural consequences of failing to plead those members. The Motion asserts that a failure to identify members 'requires remand' (p. 4) and that such a failure 'alone requires remand' (p. 5), citing NewGen at page 612. However, page 612 of NewGen explicitly states that 'defective jurisdictional allegations are not fatal' and that the district court 'properly permitted NewGen to amend its complaint under 28 U.S.C. § 1653 without reopening the judgment.' By citing a case that saved a judgment from vacatur by allowing a jurisdictional amendment to support a demand for mandatory remand without the opportunity to cure, the Motion distorts the central procedural holding of NewGen. Furthermore, the Motion's claim that post-removal attempts to cure cannot supply jurisdiction (p. 5) is contextually at odds with NewGen’s application of § 1653, which allowed a plaintiff to cure defective allegations even after a default judgment had been entered.</w:t>
      </w:r>
    </w:p>
    <w:p>
      <w:pPr>
        <w:spacing w:before="240" w:after="240"/>
      </w:pPr>
      <w:r>
        <w:rPr>
          <w:b/>
          <w:i/>
          <w:color w:val="3A0517"/>
        </w:rPr>
        <w:t>Other Relevant Precedence</w:t>
      </w:r>
    </w:p>
    <w:p>
      <w:pPr>
        <w:spacing w:before="0" w:after="0"/>
      </w:pPr>
      <w:r>
        <w:rPr>
          <w:b/>
        </w:rPr>
        <w:t>1. Voltage Pictures, LLC v. Gussi, SA DE CV, 92 F.4th 815:</w:t>
      </w:r>
      <w:r>
        <w:t xml:space="preserve"> This 2024 Ninth Circuit case reinforces the rule that an LLC's citizenship is determined by its members and specifically addresses the insufficiency of jurisdictional allegations that fail to identify those members, which is the primary defect alleged in the Motion.</w:t>
      </w:r>
    </w:p>
    <w:p>
      <w:pPr>
        <w:spacing w:before="0" w:after="0"/>
      </w:pPr>
      <w:r>
        <w:rPr>
          <w:b/>
        </w:rPr>
        <w:t>2. Ehrman v. Cox Communications, Inc., 932 F.3d 1223:</w:t>
      </w:r>
      <w:r>
        <w:t xml:space="preserve"> This case is highly relevant as it distinguishes between facial and factual challenges to a notice of removal's jurisdictional allegations, providing a more detailed framework for the procedural arguments made in the Motion regarding the legal sufficiency of "information and belief" pleadings.</w:t>
      </w:r>
    </w:p>
    <w:p>
      <w:pPr>
        <w:spacing w:before="0" w:after="0"/>
      </w:pPr>
      <w:r>
        <w:rPr>
          <w:b/>
        </w:rPr>
        <w:t>3. Doe v. Deutsche Lufthansa Aktiengesellschaft, No. 24-2829 (9th Cir. Oct. 30, 2025):</w:t>
      </w:r>
      <w:r>
        <w:t xml:space="preserve"> This extremely recent 2025 decision provides the most current confirmation of the LLC citizenship rule within the Ninth Circuit, reinforcing the ongoing validity of the principles cited from </w:t>
      </w:r>
      <w:r>
        <w:rPr>
          <w:i/>
        </w:rPr>
        <w:t>NewGen</w:t>
      </w:r>
      <w:r>
        <w:t>.</w:t>
      </w:r>
    </w:p>
    <w:p>
      <w:pPr>
        <w:spacing w:before="0" w:after="0"/>
      </w:pPr>
      <w:r>
        <w:rPr>
          <w:b/>
        </w:rPr>
        <w:t>4. Rosenwald v. Kimberly-Clark Corporation, No. 24-299 (9th Cir. Sept. 24, 2025):</w:t>
      </w:r>
      <w:r>
        <w:t xml:space="preserve"> This recent case confirms the dual burden of the removing party to both plead and prove diversity jurisdiction, supporting the Plaintiff's core argument that the Defendant failed to meet its initial burden.</w:t>
      </w:r>
    </w:p>
    <w:p>
      <w:pPr>
        <w:spacing w:before="0" w:after="0"/>
      </w:pPr>
      <w:r>
        <w:rPr>
          <w:b/>
        </w:rPr>
        <w:t>5. Rainero v. Archon Corp., 844 F.3d 832:</w:t>
      </w:r>
      <w:r>
        <w:t xml:space="preserve"> This case provides additional Ninth Circuit authority on the burden of proof regarding federal jurisdiction, specifically emphasizing that the party seeking to invoke diversity jurisdiction always bears the responsibility of pleading and proving it.</w:t>
      </w:r>
    </w:p>
    <w:p>
      <w:r>
        <w:br w:type="page"/>
      </w:r>
    </w:p>
    <w:p>
      <w:pPr>
        <w:spacing w:before="0" w:after="0"/>
      </w:pPr>
      <w:r/>
      <w:hyperlink w:anchor="significantissues">
        <w:r>
          <w:rPr/>
          <w:t xml:space="preserve">↑ Triage</w:t>
        </w:r>
      </w:hyperlink>
    </w:p>
    <w:p>
      <w:pPr>
        <w:pStyle w:val="Heading3"/>
      </w:pPr>
      <w:r>
        <w:bookmarkStart w:id="19" w:name="ehrmanvcoxco15"/>
        <w:bookmarkEnd w:id="19" w:name="ehrmanvcoxco15"/>
      </w:r>
      <w:r>
        <w:t>Ehrman v. Cox Commc’ns, Inc. 932 F.3d 1223</w:t>
      </w:r>
    </w:p>
    <w:p>
      <w:pPr>
        <w:spacing w:before="240" w:after="240"/>
      </w:pPr>
      <w:r>
        <w:rPr>
          <w:b/>
          <w:i/>
          <w:color w:val="3A0517"/>
        </w:rPr>
        <w:t>Use of Citation</w:t>
      </w:r>
      <w:r>
        <w:t xml:space="preserve"> 🔴</w:t>
      </w:r>
    </w:p>
    <w:p>
      <w:pPr>
        <w:spacing w:before="0" w:after="0"/>
      </w:pPr>
      <w:r>
        <w:t>The document cites Ehrman v. Cox Commc’ns, Inc., 932 F.3d 1223 (9th Cir. 2019) to support the legal rules that "Jurisdiction is assessed at the time of removal" and that "post-removal attempts to cure defective citizenship allegations cannot supply subject-matter jurisdiction where it was absent at removal" (p. 5). In the context of this motion, the Plaintiff argues that the Defendant failed to establish complete diversity because its Notice of Removal did not identify the citizenship of its members, instead relying on insufficient allegations made on "information and belief" (p. 5). The document interprets Ehrman as a Ninth Circuit authority that reinforces the strict requirement for jurisdiction to exist at the moment of removal (p. 5). The Plaintiff applies this concept to argue that the Defendant's failure to properly allege member citizenship at the outset is a fatal defect that cannot be cured later, thereby necessitating a mandatory remand to state court (p. 5).</w:t>
      </w:r>
    </w:p>
    <w:p>
      <w:pPr>
        <w:spacing w:before="240" w:after="240"/>
      </w:pPr>
      <w:r>
        <w:rPr>
          <w:b/>
          <w:i/>
          <w:color w:val="3A0517"/>
        </w:rPr>
        <w:t>Accuracy Review</w:t>
      </w:r>
    </w:p>
    <w:p>
      <w:pPr>
        <w:spacing w:before="0" w:after="0"/>
      </w:pPr>
      <w:r>
        <w:t>The citation to Ehrman v. Cox Commc’ns, Inc. in the Plaintiff’s Motion is technically flawed and contextually misleading. While the Plaintiff correctly identifies that jurisdiction is generally assessed at the time of removal, it uses Ehrman to support the argument that the Defendant's 'information and belief' allegations regarding citizenship are 'insufficient as a matter of law' and constitute a fatal defect. However, the cited portion of Ehrman (p. 1227) explicitly holds the opposite: that a removing party's allegations of diversity 'may be based on information and belief' and 'need not contain evidentiary submissions' at the pleading stage. By citing Ehrman to support a 'mandatory remand' based on a facial pleading defect, the Plaintiff is relying on a case that actually reversed a remand granted on those exact grounds. Furthermore, the Plaintiff fails to address that Ehrman specifically cautions against district courts sua sponte challenging citizenship allegations in the absence of a factual challenge. The Plaintiff’s application of Ehrman ignores the case's core holding—which validates the Defendant's pleading style—to instead support a procedural rule about 'curing' defects that was not the central focus of the Ehrman decision.</w:t>
      </w:r>
    </w:p>
    <w:p>
      <w:pPr>
        <w:spacing w:before="240" w:after="240"/>
      </w:pPr>
      <w:r>
        <w:rPr>
          <w:b/>
          <w:i/>
          <w:color w:val="3A0517"/>
        </w:rPr>
        <w:t>Other Relevant Precedence</w:t>
      </w:r>
    </w:p>
    <w:p>
      <w:pPr>
        <w:spacing w:before="0" w:after="0"/>
      </w:pPr>
      <w:r>
        <w:rPr>
          <w:b/>
        </w:rPr>
        <w:t>1. Salter v. Quality Carriers, Inc., 974 F.3d 959:</w:t>
      </w:r>
      <w:r>
        <w:t xml:space="preserve"> This case is more on-point for the procedural framework of challenging a notice of removal. It clarifies the distinction between facial and factual challenges established in </w:t>
      </w:r>
      <w:r>
        <w:rPr>
          <w:i/>
        </w:rPr>
        <w:t>Ehrman</w:t>
      </w:r>
      <w:r>
        <w:t>, which is directly relevant to the Plaintiff's argument that the Defendant's jurisdictional allegations are "insufficient as a matter of law" on their face.</w:t>
      </w:r>
    </w:p>
    <w:p>
      <w:pPr>
        <w:spacing w:before="0" w:after="0"/>
      </w:pPr>
      <w:r>
        <w:rPr>
          <w:b/>
        </w:rPr>
        <w:t>2. Moe v. Geico Indem. Co., 73 F.4th 757:</w:t>
      </w:r>
      <w:r>
        <w:t xml:space="preserve"> This case is relevant because it discusses the court's "independent obligation" to ensure subject-matter jurisdiction exists, reinforcing the Plaintiff's argument that the court must remand the action if the Defendant fails to carry its burden of establishing diversity.</w:t>
      </w:r>
    </w:p>
    <w:p>
      <w:pPr>
        <w:spacing w:before="0" w:after="0"/>
      </w:pPr>
      <w:r>
        <w:rPr>
          <w:b/>
        </w:rPr>
        <w:t>3. Faulk v. Jeld-wen, INC., No. 24-4078 (9th Cir. Nov. 14, 2025):</w:t>
      </w:r>
      <w:r>
        <w:t xml:space="preserve"> This case is relevant for its discussion of how jurisdictional requirements are assessed when a complaint is amended, which relates to the Plaintiff's argument that jurisdiction must be established at the time of removal based on the operative complaint.</w:t>
      </w:r>
    </w:p>
    <w:p>
      <w:r>
        <w:br w:type="page"/>
      </w:r>
    </w:p>
    <w:p>
      <w:pPr>
        <w:spacing w:before="0" w:after="0"/>
      </w:pPr>
      <w:r/>
      <w:hyperlink w:anchor="minorissues">
        <w:r>
          <w:rPr/>
          <w:t xml:space="preserve">↑ Triage</w:t>
        </w:r>
      </w:hyperlink>
    </w:p>
    <w:p>
      <w:pPr>
        <w:pStyle w:val="Heading3"/>
      </w:pPr>
      <w:r>
        <w:bookmarkStart w:id="20" w:name="kantervwarne16"/>
        <w:bookmarkEnd w:id="20" w:name="kantervwarne16"/>
      </w:r>
      <w:r>
        <w:t>Kanter v. Warner-Lambert Co. 265 F.3d 853</w:t>
      </w:r>
    </w:p>
    <w:p>
      <w:pPr>
        <w:spacing w:before="240" w:after="240"/>
      </w:pPr>
      <w:r>
        <w:rPr>
          <w:b/>
          <w:i/>
          <w:color w:val="3A0517"/>
        </w:rPr>
        <w:t>Use of Citation</w:t>
      </w:r>
      <w:r>
        <w:t xml:space="preserve"> 🟡</w:t>
      </w:r>
    </w:p>
    <w:p>
      <w:pPr>
        <w:spacing w:before="0" w:after="0"/>
      </w:pPr>
      <w:r>
        <w:t>PLAINTIFF’S NOTICE OF MOTION AND MOTION TO REMAND cites Kanter v. Warner-Lambert Co., 265 F.3d 853 (9th Cir. 2001) to establish the strict pleading requirements for diversity jurisdiction in federal court.</w:t>
      </w:r>
    </w:p>
    <w:p>
      <w:pPr>
        <w:spacing w:before="0" w:after="0"/>
      </w:pPr>
      <w:r>
        <w:t>LEGAL RULES: The document cites Kanter to support the legal rule that in diversity cases, the removing party bears the burden of pleading the citizenship of each member, and the failure to satisfy this burden requires the court to remand the action (p. 4). It further cites Kanter for the proposition that allegations regarding citizenship made solely "upon information and belief" are insufficient as a matter of law to establish diversity jurisdiction (p. 5).</w:t>
      </w:r>
    </w:p>
    <w:p>
      <w:pPr>
        <w:spacing w:before="0" w:after="0"/>
      </w:pPr>
      <w:r>
        <w:t>CONTEXT: The citations appear in Section II ("Legal Standard") and Section III ("Defendant Failed to Establish Diversity"). The context involves the Plaintiff's argument that the Defendant, an LLC, failed to properly invoke federal jurisdiction because its Notice of Removal did not identify its members or their specific states of citizenship, instead asserting only on "information and belief" that none of its members were citizens of Wyoming (pp. 4-5).</w:t>
      </w:r>
    </w:p>
    <w:p>
      <w:pPr>
        <w:spacing w:before="0" w:after="0"/>
      </w:pPr>
      <w:r>
        <w:t>INTERPRETATION: The document interprets Kanter as part of a body of Ninth Circuit law that places a heavy and specific burden on the removing party. It interprets the case to mean that jurisdictional allegations must be factual and certain rather than speculative or based on information and belief, and that the court must reject jurisdiction if these pleading standards are not met at the time of removal (pp. 4-5).</w:t>
      </w:r>
    </w:p>
    <w:p>
      <w:pPr>
        <w:spacing w:before="0" w:after="0"/>
      </w:pPr>
      <w:r>
        <w:t>APPLICATION: The document directly applies the legal concepts from Kanter to the Defendant's Notice of Removal. It argues that the Defendant's specific use of "information and belief" regarding its members' citizenship is the exact type of pleading failure that Kanter deems "insufficient as a matter of law," thereby necessitating a mandatory remand (p. 5).</w:t>
      </w:r>
    </w:p>
    <w:p>
      <w:pPr>
        <w:spacing w:before="240" w:after="240"/>
      </w:pPr>
      <w:r>
        <w:rPr>
          <w:b/>
          <w:i/>
          <w:color w:val="3A0517"/>
        </w:rPr>
        <w:t>Accuracy Review</w:t>
      </w:r>
    </w:p>
    <w:p>
      <w:pPr>
        <w:spacing w:before="0" w:after="0"/>
      </w:pPr>
      <w:r>
        <w:t>The citation to Kanter v. Warner-Lambert Co. in the Plaintiff’s Motion to Remand is partially accurate but involves contextual overextension and incomplete application. First, the motion cites Kanter for the specific rule that an LLC must plead the citizenship of each of its members. While Kanter establishes the broad principle that a removing party must affirmatively allege the citizenship of all parties, the case itself involved corporations and natural persons; the specific rule regarding LLC membership citizenship is derived from other cases like Johnson v. Columbia Props. Anchorage, LP (which the motion also cites). Second, the motion uses Kanter to support the claim that allegations made 'upon information and belief' are 'insufficient as a matter of law.' While Kanter found that failing to specify a party's state of citizenship was a 'fatal' defect, its specific holding focused on the distinction between 'residency' and 'citizenship' and the failure to name the specific states of incorporation for corporate defendants. It did not create a per se rule against 'information and belief' pleadings in the context of LLC members. Third, the motion characterizes the pleading failure as requiring 'mandatory' remand. This is an incomplete application of Kanter, which explicitly states that 'Pfizer could potentially have cured its defective allegations regarding citizenship by amending its notice of removal' under 28 U.S.C. § 1653. Kanter distinguishes between a 'pleading defect' and an 'actual defect of federal jurisdiction,' suggesting that the court should allow for amendment rather than immediate remand if the defect is merely one of form.</w:t>
      </w:r>
    </w:p>
    <w:p>
      <w:pPr>
        <w:spacing w:before="240" w:after="240"/>
      </w:pPr>
      <w:r>
        <w:rPr>
          <w:b/>
          <w:i/>
          <w:color w:val="3A0517"/>
        </w:rPr>
        <w:t>Applicable Negative Treatment</w:t>
      </w:r>
    </w:p>
    <w:p>
      <w:pPr>
        <w:spacing w:before="0" w:after="0"/>
      </w:pPr>
      <w:r>
        <w:rPr>
          <w:b/>
        </w:rPr>
        <w:t>1. Carolina Casualty Insurance Co. v. Team Equipment, Inc., 741 F.3d 1082:</w:t>
      </w:r>
      <w:r>
        <w:t xml:space="preserve"> This case distinguishes the strict requirement in </w:t>
      </w:r>
      <w:r>
        <w:rPr>
          <w:i/>
        </w:rPr>
        <w:t>Kanter</w:t>
      </w:r>
      <w:r>
        <w:t xml:space="preserve"> that a party must affirmatively allege the citizenship of the relevant parties to establish diversity. It holds that in "unusual circumstances," such as when the information necessary to establish diversity is within the opposing party's control, a party may be excused from the general requirement of pleading diversity affirmatively and on personal knowledge. This limits the application of </w:t>
      </w:r>
      <w:r>
        <w:rPr>
          <w:i/>
        </w:rPr>
        <w:t>Kanter</w:t>
      </w:r>
      <w:r>
        <w:t>'s rule that a failure to specify citizenship is "fatal" to the assertion of jurisdiction.</w:t>
      </w:r>
    </w:p>
    <w:p>
      <w:pPr>
        <w:spacing w:before="0" w:after="0"/>
      </w:pPr>
      <w:r>
        <w:rPr>
          <w:b/>
        </w:rPr>
        <w:t>2. Ellis v. Costco Wholesale Corp., 657 F.3d 970:</w:t>
      </w:r>
      <w:r>
        <w:t xml:space="preserve"> This case treats </w:t>
      </w:r>
      <w:r>
        <w:rPr>
          <w:i/>
        </w:rPr>
        <w:t>Kanter</w:t>
      </w:r>
      <w:r>
        <w:t xml:space="preserve"> negatively by stating that the standard it established—that monetary damages must be "merely incidental" to the litigation in a Rule 23(b)(2) class—was called into doubt by the Supreme Court in </w:t>
      </w:r>
      <w:r>
        <w:rPr>
          <w:i/>
        </w:rPr>
        <w:t>Wal-Mart Stores, Inc. v. Dukes</w:t>
      </w:r>
      <w:r>
        <w:t xml:space="preserve">. This limits the legal authority of </w:t>
      </w:r>
      <w:r>
        <w:rPr>
          <w:i/>
        </w:rPr>
        <w:t>Kanter</w:t>
      </w:r>
      <w:r>
        <w:t>'s analysis regarding whether a request for injunctive relief can provide a basis for federal jurisdiction when it is not the "primary object of the litigation."</w:t>
      </w:r>
    </w:p>
    <w:p>
      <w:pPr>
        <w:spacing w:before="240" w:after="240"/>
      </w:pPr>
      <w:r>
        <w:rPr>
          <w:b/>
          <w:i/>
          <w:color w:val="3A0517"/>
        </w:rPr>
        <w:t>Other Relevant Precedence</w:t>
      </w:r>
    </w:p>
    <w:p>
      <w:pPr>
        <w:spacing w:before="0" w:after="0"/>
      </w:pPr>
      <w:r>
        <w:rPr>
          <w:b/>
        </w:rPr>
        <w:t>1. NewGen, LLC v. Safe Cig, LLC, 840 F.3d 606:</w:t>
      </w:r>
      <w:r>
        <w:t xml:space="preserve"> This case is highly on-point as it specifically addresses the requirement for a party invoking diversity jurisdiction to allege the citizenship of each member of an LLC at the pleading stage, directly supporting the document's primary argument regarding the Defendant's failure to establish diversity.</w:t>
      </w:r>
    </w:p>
    <w:p>
      <w:pPr>
        <w:spacing w:before="0" w:after="0"/>
      </w:pPr>
      <w:r>
        <w:rPr>
          <w:b/>
        </w:rPr>
        <w:t>2. Carolina Casualty Insurance Co. v. Team Equipment, Inc., 741 F.3d 1082:</w:t>
      </w:r>
      <w:r>
        <w:t xml:space="preserve"> This case is relevant because it discusses "unusual circumstances" where the strict affirmative allegation requirement of </w:t>
      </w:r>
      <w:r>
        <w:rPr>
          <w:i/>
        </w:rPr>
        <w:t>Kanter</w:t>
      </w:r>
      <w:r>
        <w:t xml:space="preserve"> might be relaxed if jurisdictional information is within the opposing party's control, providing a necessary refinement to the rule cited in the document.</w:t>
      </w:r>
    </w:p>
    <w:p>
      <w:pPr>
        <w:spacing w:before="0" w:after="0"/>
      </w:pPr>
      <w:r>
        <w:rPr>
          <w:b/>
        </w:rPr>
        <w:t>3. Dahl v. Rosenfeld, 316 F.3d 1074:</w:t>
      </w:r>
      <w:r>
        <w:t xml:space="preserve"> This case is on-point for the Plaintiff's request for attorneys' fees in Section VIII, as it establishes the "abuse of discretion" standard of review for fee awards under 28 U.S.C. § 1447(c) following improper removal, citing </w:t>
      </w:r>
      <w:r>
        <w:rPr>
          <w:i/>
        </w:rPr>
        <w:t>Kanter</w:t>
      </w:r>
      <w:r>
        <w:t>.</w:t>
      </w:r>
    </w:p>
    <w:p>
      <w:pPr>
        <w:spacing w:before="0" w:after="0"/>
      </w:pPr>
      <w:r>
        <w:rPr>
          <w:b/>
        </w:rPr>
        <w:t>4. Ehrman v. Cox Communications, Inc., 932 F.3d 1223:</w:t>
      </w:r>
      <w:r>
        <w:t xml:space="preserve"> This more recent Ninth Circuit decision reinforces the </w:t>
      </w:r>
      <w:r>
        <w:rPr>
          <w:i/>
        </w:rPr>
        <w:t>Kanter</w:t>
      </w:r>
      <w:r>
        <w:t xml:space="preserve"> distinction between residency and citizenship/domicile, which supports the document's argument that the Defendant's negative allegation (not a citizen of Wyoming) fails to establish the necessary affirmative citizenship of its members.</w:t>
      </w:r>
    </w:p>
    <w:p>
      <w:pPr>
        <w:spacing w:before="0" w:after="0"/>
      </w:pPr>
      <w:r>
        <w:rPr>
          <w:b/>
        </w:rPr>
        <w:t>5. Rainero v. Archon Corp., 844 F.3d 832:</w:t>
      </w:r>
      <w:r>
        <w:t xml:space="preserve"> This case applies the </w:t>
      </w:r>
      <w:r>
        <w:rPr>
          <w:i/>
        </w:rPr>
        <w:t>Kanter</w:t>
      </w:r>
      <w:r>
        <w:t xml:space="preserve"> rule to find a pleading deficient when it alleges only residency rather than citizenship, mirroring the document's critique of the Defendant's failure to properly allege the specific citizenship of its members.</w:t>
      </w:r>
    </w:p>
    <w:p>
      <w:r>
        <w:br w:type="page"/>
      </w:r>
    </w:p>
    <w:p>
      <w:pPr>
        <w:spacing w:before="0" w:after="0"/>
      </w:pPr>
      <w:r/>
      <w:hyperlink w:anchor="minorissues">
        <w:r>
          <w:rPr/>
          <w:t xml:space="preserve">↑ Triage</w:t>
        </w:r>
      </w:hyperlink>
    </w:p>
    <w:p>
      <w:pPr>
        <w:pStyle w:val="Heading3"/>
      </w:pPr>
      <w:r>
        <w:bookmarkStart w:id="21" w:name="livelyvwildo17"/>
        <w:bookmarkEnd w:id="21" w:name="livelyvwildo17"/>
      </w:r>
      <w:r>
        <w:t>Lively v. Wild Oats Mkts., Inc. 456 F.3d 933</w:t>
      </w:r>
    </w:p>
    <w:p>
      <w:pPr>
        <w:spacing w:before="240" w:after="240"/>
      </w:pPr>
      <w:r>
        <w:rPr>
          <w:b/>
          <w:i/>
          <w:color w:val="3A0517"/>
        </w:rPr>
        <w:t>Use of Citation</w:t>
      </w:r>
      <w:r>
        <w:t xml:space="preserve"> 🟡</w:t>
      </w:r>
    </w:p>
    <w:p>
      <w:pPr>
        <w:spacing w:before="0" w:after="0"/>
      </w:pPr>
      <w:r>
        <w:t>Plaintiff cites Lively v. Wild Oats Mkts., Inc. to support the legal rule that the removing party bears the burden of establishing that the forum-defendant rule does not apply to the action (p. 5). In the context of this motion, Plaintiff argues that removal is barred under 28 U.S.C. § 1441(b)(2) because the defendant LLC failed to identify the citizenship of its members, potentially violating the rule against removal when a defendant is a citizen of the forum state (p. 5). Plaintiff interprets the legal reasoning in Lively as placing the evidentiary burden squarely on the defendant to prove the non-applicability of this procedural bar (p. 5). The document directly applies this concept by asserting that the defendant's 'silence' regarding its members' citizenship is 'fatal' to its removal under the standard set forth in Lively (p. 5).</w:t>
      </w:r>
    </w:p>
    <w:p>
      <w:pPr>
        <w:spacing w:before="240" w:after="240"/>
      </w:pPr>
      <w:r>
        <w:rPr>
          <w:b/>
          <w:i/>
          <w:color w:val="3A0517"/>
        </w:rPr>
        <w:t>Accuracy Review</w:t>
      </w:r>
    </w:p>
    <w:p>
      <w:pPr>
        <w:spacing w:before="0" w:after="0"/>
      </w:pPr>
      <w:r>
        <w:t>The citation to Lively v. Wild Oats Mkts., Inc. in the Plaintiff's Motion is partially accurate but contextually strained. The Plaintiff correctly identifies that the forum defendant rule is a requirement for proper removal and that the removing party generally bears the burden of establishing jurisdiction and compliance with removal statutes. However, the application of Lively to the 'silence is fatal' argument is a contextual distortion. In Lively, the defendant's 'silence' (its status as a forum defendant) was not fatal to removal; rather, it was the plaintiff's silence (failure to object within 30 days) that was fatal to the remand effort. Lively actually served to protect a forum defendant from a late remand. Furthermore, page 939 of Lively focuses on the 1996 amendments to § 1447(c) to prove the rule is procedural/waivable, which actually creates a hurdle for plaintiffs if they do not act quickly. While the Plaintiff here is presumably acting within the 30-day window (making the waiver issue moot), citing Lively for the 'fatal' nature of a defendant's silence misrepresents the case's primary outcome, which favored the defendant due to procedural waiver.</w:t>
      </w:r>
    </w:p>
    <w:p>
      <w:pPr>
        <w:spacing w:before="240" w:after="240"/>
      </w:pPr>
      <w:r>
        <w:rPr>
          <w:b/>
          <w:i/>
          <w:color w:val="3A0517"/>
        </w:rPr>
        <w:t>Applicable Negative Treatment</w:t>
      </w:r>
    </w:p>
    <w:p>
      <w:pPr>
        <w:spacing w:before="0" w:after="0"/>
      </w:pPr>
      <w:r>
        <w:rPr>
          <w:b/>
        </w:rPr>
        <w:t>1. Atlantic National Trust LLC v. Mt. Hawley Insurance, 621 F.3d 931:</w:t>
      </w:r>
      <w:r>
        <w:t xml:space="preserve"> The Ninth Circuit stated that </w:t>
      </w:r>
      <w:r>
        <w:rPr>
          <w:i/>
        </w:rPr>
        <w:t>Lively</w:t>
      </w:r>
      <w:r>
        <w:t xml:space="preserve"> is superseded by the Supreme Court's decision in </w:t>
      </w:r>
      <w:r>
        <w:rPr>
          <w:i/>
        </w:rPr>
        <w:t>Powerex Corp. v. Reliant Energy Servs., Inc.</w:t>
      </w:r>
      <w:r>
        <w:t xml:space="preserve"> to the extent it allowed for a searching appellate review of a district court's remand order. This limits the case's authority regarding the interpretation of remand power and the scope of judicial review under 28 U.S.C. § 1447(c) and (d).</w:t>
      </w:r>
    </w:p>
    <w:p>
      <w:pPr>
        <w:spacing w:before="0" w:after="0"/>
      </w:pPr>
      <w:r>
        <w:rPr>
          <w:b/>
        </w:rPr>
        <w:t>2. Casola v. Dexcom, Inc., 98 F.4th 947:</w:t>
      </w:r>
      <w:r>
        <w:t xml:space="preserve"> The Ninth Circuit limited </w:t>
      </w:r>
      <w:r>
        <w:rPr>
          <w:i/>
        </w:rPr>
        <w:t>Lively</w:t>
      </w:r>
      <w:r>
        <w:t xml:space="preserve"> by distinguishing its holding regarding </w:t>
      </w:r>
      <w:r>
        <w:rPr>
          <w:i/>
        </w:rPr>
        <w:t>sua sponte</w:t>
      </w:r>
      <w:r>
        <w:t xml:space="preserve"> remands. It clarified that the restrictions on a court's power to remand for a forum-defendant rule violation—specifically the prohibition against remanding after the 30-day waiver period—are applied differently when a plaintiff explicitly invokes the defect in a motion to remand rather than the court acting on its own initiative.</w:t>
      </w:r>
    </w:p>
    <w:p>
      <w:pPr>
        <w:spacing w:before="240" w:after="240"/>
      </w:pPr>
      <w:r>
        <w:rPr>
          <w:b/>
          <w:i/>
          <w:color w:val="3A0517"/>
        </w:rPr>
        <w:t>Other Relevant Precedence</w:t>
      </w:r>
    </w:p>
    <w:p>
      <w:pPr>
        <w:spacing w:before="0" w:after="0"/>
      </w:pPr>
      <w:r>
        <w:rPr>
          <w:b/>
        </w:rPr>
        <w:t>1. Childs v. San Diego Family Housing, LLC, No. 24-1256 (9th Cir. Aug. 28, 2025):</w:t>
      </w:r>
      <w:r>
        <w:t xml:space="preserve"> This very recent Ninth Circuit decision cites </w:t>
      </w:r>
      <w:r>
        <w:rPr>
          <w:i/>
        </w:rPr>
        <w:t>Lively</w:t>
      </w:r>
      <w:r>
        <w:t xml:space="preserve"> for the standard of review and the burden of establishing subject matter jurisdiction, providing the most current jurisdictional match for these foundational principles.</w:t>
      </w:r>
    </w:p>
    <w:p>
      <w:pPr>
        <w:spacing w:before="0" w:after="0"/>
      </w:pPr>
      <w:r>
        <w:rPr>
          <w:b/>
        </w:rPr>
        <w:t>2. Casola v. Dexcom, Inc., 98 F.4th 947:</w:t>
      </w:r>
      <w:r>
        <w:t xml:space="preserve"> This 2024 Ninth Circuit case is the most current authority confirming that the forum defendant rule is a non-jurisdictional defect and clarifying the procedural requirements for remanding on that basis, effectively updating the analysis found in </w:t>
      </w:r>
      <w:r>
        <w:rPr>
          <w:i/>
        </w:rPr>
        <w:t>Lively</w:t>
      </w:r>
      <w:r>
        <w:t>.</w:t>
      </w:r>
    </w:p>
    <w:p>
      <w:pPr>
        <w:spacing w:before="0" w:after="0"/>
      </w:pPr>
      <w:r>
        <w:rPr>
          <w:b/>
        </w:rPr>
        <w:t>3. Atlantic National Trust LLC v. Mt. Hawley Insurance, 621 F.3d 931:</w:t>
      </w:r>
      <w:r>
        <w:t xml:space="preserve"> This case is critical because it notes that </w:t>
      </w:r>
      <w:r>
        <w:rPr>
          <w:i/>
        </w:rPr>
        <w:t>Lively</w:t>
      </w:r>
      <w:r>
        <w:t xml:space="preserve"> was superseded in part by Supreme Court precedent (</w:t>
      </w:r>
      <w:r>
        <w:rPr>
          <w:i/>
        </w:rPr>
        <w:t>Powerex</w:t>
      </w:r>
      <w:r>
        <w:t xml:space="preserve">) regarding the scope of appellate review of remand orders, which impacts the continued validity of some of </w:t>
      </w:r>
      <w:r>
        <w:rPr>
          <w:i/>
        </w:rPr>
        <w:t>Lively</w:t>
      </w:r>
      <w:r>
        <w:t>'s jurisdictional reasoning.</w:t>
      </w:r>
    </w:p>
    <w:p>
      <w:pPr>
        <w:spacing w:before="0" w:after="0"/>
      </w:pPr>
      <w:r>
        <w:rPr>
          <w:b/>
        </w:rPr>
        <w:t>4. Polo v. Innoventions International, LLC, 833 F.3d 1193:</w:t>
      </w:r>
      <w:r>
        <w:t xml:space="preserve"> This case provides a more recent Ninth Circuit statement on the waiver of procedural removal defects, reinforcing the core procedural holding of </w:t>
      </w:r>
      <w:r>
        <w:rPr>
          <w:i/>
        </w:rPr>
        <w:t>Lively</w:t>
      </w:r>
      <w:r>
        <w:t xml:space="preserve"> in a more modern context.</w:t>
      </w:r>
    </w:p>
    <w:p>
      <w:pPr>
        <w:spacing w:before="0" w:after="0"/>
      </w:pPr>
      <w:r>
        <w:rPr>
          <w:b/>
        </w:rPr>
        <w:t>5. Infuturia Global Ltd. v. Sequus Pharmaceuticals, Inc., 631 F.3d 1133:</w:t>
      </w:r>
      <w:r>
        <w:t xml:space="preserve"> This decision specifically applies the </w:t>
      </w:r>
      <w:r>
        <w:rPr>
          <w:i/>
        </w:rPr>
        <w:t>Lively</w:t>
      </w:r>
      <w:r>
        <w:t xml:space="preserve"> holding to confirm the non-jurisdictional nature of the forum defendant rule, serving as a more recent jurisdictional match for that specific legal proposition.</w:t>
      </w:r>
    </w:p>
    <w:p>
      <w:r>
        <w:br w:type="page"/>
      </w:r>
    </w:p>
    <w:p>
      <w:pPr>
        <w:spacing w:before="0" w:after="0"/>
      </w:pPr>
      <w:r/>
      <w:hyperlink w:anchor="accurate">
        <w:r>
          <w:rPr/>
          <w:t xml:space="preserve">↑ Triage</w:t>
        </w:r>
      </w:hyperlink>
    </w:p>
    <w:p>
      <w:pPr>
        <w:pStyle w:val="Heading3"/>
      </w:pPr>
      <w:r>
        <w:bookmarkStart w:id="22" w:name="kokkonenvgua18"/>
        <w:bookmarkEnd w:id="22" w:name="kokkonenvgua18"/>
      </w:r>
      <w:r>
        <w:t>Kokkonen v. Guardian Life Ins. Co. of Am. 511 U.S. 375</w:t>
      </w:r>
    </w:p>
    <w:p>
      <w:pPr>
        <w:spacing w:before="240" w:after="240"/>
      </w:pPr>
      <w:r>
        <w:rPr>
          <w:b/>
          <w:i/>
          <w:color w:val="3A0517"/>
        </w:rPr>
        <w:t>Use of Citation</w:t>
      </w:r>
      <w:r>
        <w:t xml:space="preserve"> 🟢</w:t>
      </w:r>
    </w:p>
    <w:p>
      <w:pPr>
        <w:spacing w:before="0" w:after="0"/>
      </w:pPr>
      <w:r>
        <w:t>Plaintiff’s Notice of Motion and Motion to Remand cites Kokkonen v. Guardian Life Ins. Co. of Am. to establish the fundamental legal rules that federal courts are "courts of limited jurisdiction" and that they "possess only that power authorized by Constitution and statute" (p. 4). In the context of this motion, the citation is used to introduce the "LEGAL STANDARD" for federal subject-matter jurisdiction, serving as the starting point for the argument that the court must remand the case if jurisdiction is not clearly established (p. 4). The document interprets Kokkonen as a mandate for judicial restraint, requiring the removing party to affirmatively demonstrate the basis for federal authority (p. 4). The Plaintiff directly applies these legal concepts to the present matter by asserting that the Defendant has not met its burden of proving diversity jurisdiction, thereby necessitating a remand to state court (p. 4).</w:t>
      </w:r>
    </w:p>
    <w:p>
      <w:pPr>
        <w:spacing w:before="240" w:after="240"/>
      </w:pPr>
      <w:r>
        <w:rPr>
          <w:b/>
          <w:i/>
          <w:color w:val="3A0517"/>
        </w:rPr>
        <w:t>Accuracy Review</w:t>
      </w:r>
    </w:p>
    <w:p>
      <w:pPr>
        <w:spacing w:before="0" w:after="0"/>
      </w:pPr>
      <w:r>
        <w:t>The citation to Kokkonen v. Guardian Life Ins. Co. of Am. in the Plaintiff's Motion to Remand is an accurate application of the law. Although the specific facts of Kokkonen involved the enforcement of a settlement agreement following a Rule 41 dismissal, the Supreme Court began its opinion by articulating the foundational principles of federal jurisdiction that apply to all cases in federal court. The Plaintiff correctly extracts these principles—that federal courts possess only the power authorized by the Constitution and statute and that jurisdiction is presumed to be lacking—to frame the legal standard for a motion to remand. This application is consistent with how Kokkonen is cited across federal jurisprudence, including in removal cases like Gaus v. Miles, Inc. (9th Cir. 1992), to emphasize that the removing party bears the burden of overcoming the presumption against jurisdiction. There is no contextual overextension because the principles cited are the universal starting point for any jurisdictional inquiry. The citation also correctly identifies the burden of proof, which is central to the Plaintiff's argument that the Defendant failed to properly allege the citizenship of its members.</w:t>
      </w:r>
    </w:p>
    <w:p>
      <w:pPr>
        <w:spacing w:before="240" w:after="240"/>
      </w:pPr>
      <w:r>
        <w:rPr>
          <w:b/>
          <w:i/>
          <w:color w:val="3A0517"/>
        </w:rPr>
        <w:t>Use of Quotes</w:t>
      </w:r>
      <w:r>
        <w:bookmarkStart w:id="23" w:name="kokkonenvgua19"/>
        <w:bookmarkEnd w:id="23" w:name="kokkonenvgua19"/>
      </w:r>
    </w:p>
    <w:p>
      <w:pPr>
        <w:spacing w:before="240" w:after="240"/>
      </w:pPr>
      <w:r>
        <w:t xml:space="preserve">🟢 </w:t>
      </w:r>
      <w:r>
        <w:rPr>
          <w:b/>
          <w:i/>
          <w:color w:val="3A0517"/>
        </w:rPr>
        <w:t>Quote 1 - 511 U.S. 375, 377</w:t>
      </w:r>
    </w:p>
    <w:p>
      <w:pPr>
        <w:pStyle w:val="Quote"/>
      </w:pPr>
      <w:r>
        <w:t>Federal courts are courts of limited jurisdiction</w:t>
      </w:r>
    </w:p>
    <w:p>
      <w:pPr>
        <w:spacing w:before="0" w:after="0"/>
      </w:pPr>
      <w:r>
        <w:t>The quote 'Federal courts are courts of limited jurisdiction' exists verbatim in the Kokkonen opinion at 511 U.S. 375, 377. It is an accurate and complete representation of the court's opening statement regarding the nature of federal judicial power. It is applied in a contextually complete manner to establish the baseline for the court's authority.</w:t>
      </w:r>
    </w:p>
    <w:p>
      <w:pPr>
        <w:spacing w:before="240" w:after="240"/>
      </w:pPr>
      <w:r>
        <w:t xml:space="preserve">🟢 </w:t>
      </w:r>
      <w:r>
        <w:rPr>
          <w:b/>
          <w:i/>
          <w:color w:val="3A0517"/>
        </w:rPr>
        <w:t>Quote 1 - 511 U.S. 375, 377</w:t>
      </w:r>
    </w:p>
    <w:p>
      <w:pPr>
        <w:pStyle w:val="Quote"/>
      </w:pPr>
      <w:r>
        <w:t>possess only that power authorized by Constitution and statute</w:t>
      </w:r>
    </w:p>
    <w:p>
      <w:pPr>
        <w:spacing w:before="0" w:after="0"/>
      </w:pPr>
      <w:r>
        <w:t>The quote 'possess only that power authorized by Constitution and statute' exists verbatim in the Kokkonen opinion at 511 U.S. 375, 377. It accurately reflects the Court's reasoning that federal jurisdiction is strictly defined by legal authority rather than judicial discretion. The application in the motion is contextually appropriate.</w:t>
      </w:r>
    </w:p>
    <w:p>
      <w:pPr>
        <w:spacing w:before="240" w:after="240"/>
      </w:pPr>
      <w:r>
        <w:rPr>
          <w:b/>
          <w:i/>
          <w:color w:val="3A0517"/>
        </w:rPr>
        <w:t>Other Relevant Precedence</w:t>
      </w:r>
    </w:p>
    <w:p>
      <w:pPr>
        <w:spacing w:before="0" w:after="0"/>
      </w:pPr>
      <w:r>
        <w:rPr>
          <w:b/>
        </w:rPr>
        <w:t>1. Hunter v. Philip Morris USA, 582 F.3d 1039:</w:t>
      </w:r>
      <w:r>
        <w:t xml:space="preserve"> This Ninth Circuit case specifically applies the principles from </w:t>
      </w:r>
      <w:r>
        <w:rPr>
          <w:i/>
        </w:rPr>
        <w:t>Kokkonen</w:t>
      </w:r>
      <w:r>
        <w:t xml:space="preserve"> to the removal context, affirming that the removing party bears the burden of overcoming the presumption against federal jurisdiction.</w:t>
      </w:r>
    </w:p>
    <w:p>
      <w:pPr>
        <w:spacing w:before="0" w:after="0"/>
      </w:pPr>
      <w:r>
        <w:rPr>
          <w:b/>
        </w:rPr>
        <w:t>2. Abrego Abrego v. Dow Chemical Co., 443 F.3d 676:</w:t>
      </w:r>
      <w:r>
        <w:t xml:space="preserve"> This Ninth Circuit opinion cites </w:t>
      </w:r>
      <w:r>
        <w:rPr>
          <w:i/>
        </w:rPr>
        <w:t>Kokkonen</w:t>
      </w:r>
      <w:r>
        <w:t xml:space="preserve"> to establish that the burden of proving subject-matter jurisdiction remains on the party asserting it, even in the context of specialized removal statutes like the Class Action Fairness Act.</w:t>
      </w:r>
    </w:p>
    <w:p>
      <w:pPr>
        <w:spacing w:before="0" w:after="0"/>
      </w:pPr>
      <w:r>
        <w:rPr>
          <w:b/>
        </w:rPr>
        <w:t>3. Corral v. Select Portfolio Servicing, Inc., 878 F.3d 770:</w:t>
      </w:r>
      <w:r>
        <w:t xml:space="preserve"> This Ninth Circuit case relies on </w:t>
      </w:r>
      <w:r>
        <w:rPr>
          <w:i/>
        </w:rPr>
        <w:t>Kokkonen</w:t>
      </w:r>
      <w:r>
        <w:t xml:space="preserve"> to emphasize the "strong presumption" against removal jurisdiction and the requirement that the removing defendant establish all jurisdictional facts.</w:t>
      </w:r>
    </w:p>
    <w:p>
      <w:pPr>
        <w:spacing w:before="0" w:after="0"/>
      </w:pPr>
      <w:r>
        <w:rPr>
          <w:b/>
        </w:rPr>
        <w:t>4. Hertz Corp. v. Friend, 559 U.S. 77:</w:t>
      </w:r>
      <w:r>
        <w:t xml:space="preserve"> This Supreme Court case cites </w:t>
      </w:r>
      <w:r>
        <w:rPr>
          <w:i/>
        </w:rPr>
        <w:t>Kokkonen</w:t>
      </w:r>
      <w:r>
        <w:t xml:space="preserve"> to confirm that the burden of persuasion for establishing diversity of citizenship—the specific jurisdictional basis at issue in the document—rests entirely on the party seeking to invoke federal authority.</w:t>
      </w:r>
    </w:p>
    <w:p>
      <w:pPr>
        <w:spacing w:before="0" w:after="0"/>
      </w:pPr>
      <w:r>
        <w:rPr>
          <w:b/>
        </w:rPr>
        <w:t>5. Van v. Llr, INC., 61 F.4th 1053:</w:t>
      </w:r>
      <w:r>
        <w:t xml:space="preserve"> This recent Ninth Circuit decision cites </w:t>
      </w:r>
      <w:r>
        <w:rPr>
          <w:i/>
        </w:rPr>
        <w:t>Kokkonen</w:t>
      </w:r>
      <w:r>
        <w:t xml:space="preserve"> to reiterate that federal judicial power is strictly limited by the Constitution and statutes and cannot be expanded by judicial decree, supporting the document's call for strict construction of removal jurisdiction.</w:t>
      </w:r>
    </w:p>
    <w:p>
      <w:r>
        <w:br w:type="page"/>
      </w:r>
    </w:p>
    <w:p>
      <w:pPr>
        <w:spacing w:before="0" w:after="0"/>
      </w:pPr>
      <w:r/>
      <w:hyperlink w:anchor="accurate">
        <w:r>
          <w:rPr/>
          <w:t xml:space="preserve">↑ Triage</w:t>
        </w:r>
      </w:hyperlink>
    </w:p>
    <w:p>
      <w:pPr>
        <w:pStyle w:val="Heading3"/>
      </w:pPr>
      <w:r>
        <w:bookmarkStart w:id="24" w:name="johnsonvcolu20"/>
        <w:bookmarkEnd w:id="24" w:name="johnsonvcolu20"/>
      </w:r>
      <w:r>
        <w:t>Johnson v. Columbia Props. Anchorage, LP 437 F.3d 894</w:t>
      </w:r>
    </w:p>
    <w:p>
      <w:pPr>
        <w:spacing w:before="240" w:after="240"/>
      </w:pPr>
      <w:r>
        <w:rPr>
          <w:b/>
          <w:i/>
          <w:color w:val="3A0517"/>
        </w:rPr>
        <w:t>Use of Citation</w:t>
      </w:r>
      <w:r>
        <w:t xml:space="preserve"> 🟢</w:t>
      </w:r>
    </w:p>
    <w:p>
      <w:pPr>
        <w:spacing w:before="0" w:after="0"/>
      </w:pPr>
      <w:r>
        <w:t>The document cites Johnson v. Columbia Props. Anchorage, LP to establish two primary legal rules: first, that for the purposes of diversity jurisdiction, a limited liability company (LLC) is considered a citizen of every state in which its members are citizens (p. 4); and second, that in diversity cases involving LLCs, the party seeking removal bears the specific burden of pleading the citizenship of every member of that LLC (p. 4). The context of these citations is the Plaintiff's argument that the Defendant, 1032 N. Sycamore Owner (LA), LLC, failed to establish subject-matter jurisdiction in its Notice of Removal (p. 4). The document interprets Johnson as the controlling authority that dictates how the citizenship of an LLC must be determined and disclosed to the court (p. 4). The document directly applies the legal concepts from Johnson by arguing that the Defendant's failure to identify its members or their specific citizenships—relying instead on an allegation that none of its members are citizens of Wyoming—is legally insufficient to satisfy the Ninth Circuit's requirements for establishing complete diversity (p. 4-5).</w:t>
      </w:r>
    </w:p>
    <w:p>
      <w:pPr>
        <w:spacing w:before="240" w:after="240"/>
      </w:pPr>
      <w:r>
        <w:rPr>
          <w:b/>
          <w:i/>
          <w:color w:val="3A0517"/>
        </w:rPr>
        <w:t>Accuracy Review</w:t>
      </w:r>
    </w:p>
    <w:p>
      <w:pPr>
        <w:spacing w:before="0" w:after="0"/>
      </w:pPr>
      <w:r>
        <w:t>The Motion to Remand accurately applies Johnson v. Columbia Props. Anchorage, LP. The legal principle that an LLC's citizenship is determined by its members is the core holding of Johnson and is applied here to a factually analogous situation involving a motion to remand for lack of diversity. The Motion correctly identifies that the Defendant, as the removing party, has the burden of establishing the citizenship of its members to prove complete diversity. There is no mischaracterization or contextual overextension; the Motion uses Johnson for its primary, well-established purpose in the Ninth Circuit. The reliance on other authorities like NewGen and Kanter for the procedural standard of pleading citizenship further strengthens the application of the Johnson rule without distorting it.</w:t>
      </w:r>
    </w:p>
    <w:p>
      <w:pPr>
        <w:spacing w:before="240" w:after="240"/>
      </w:pPr>
      <w:r>
        <w:rPr>
          <w:b/>
          <w:i/>
          <w:color w:val="3A0517"/>
        </w:rPr>
        <w:t>Other Relevant Precedence</w:t>
      </w:r>
    </w:p>
    <w:p>
      <w:pPr>
        <w:spacing w:before="0" w:after="0"/>
      </w:pPr>
      <w:r>
        <w:rPr>
          <w:b/>
        </w:rPr>
        <w:t>1. NewGen, LLC v. Safe Cig, LLC, 840 F.3d 606:</w:t>
      </w:r>
      <w:r>
        <w:t xml:space="preserve"> This Ninth Circuit case is more recent than </w:t>
      </w:r>
      <w:r>
        <w:rPr>
          <w:i/>
        </w:rPr>
        <w:t>Johnson</w:t>
      </w:r>
      <w:r>
        <w:t xml:space="preserve"> and specifically addresses the procedural defect of failing to allege the citizenship of individual LLC members, which is the central argument for remand in the Plaintiff's motion.</w:t>
      </w:r>
    </w:p>
    <w:p>
      <w:pPr>
        <w:spacing w:before="0" w:after="0"/>
      </w:pPr>
      <w:r>
        <w:rPr>
          <w:b/>
        </w:rPr>
        <w:t>2. 3123 SMB LLC v. Horn, 880 F.3d 461:</w:t>
      </w:r>
      <w:r>
        <w:t xml:space="preserve"> This case is highly relevant as it applies the </w:t>
      </w:r>
      <w:r>
        <w:rPr>
          <w:i/>
        </w:rPr>
        <w:t>Johnson</w:t>
      </w:r>
      <w:r>
        <w:t xml:space="preserve"> rule to a situation involving an LLC with a sole member, directly paralleling the citizenship profile of Plaintiff Zeus Realty Group LLC.</w:t>
      </w:r>
    </w:p>
    <w:p>
      <w:pPr>
        <w:spacing w:before="0" w:after="0"/>
      </w:pPr>
      <w:r>
        <w:rPr>
          <w:b/>
        </w:rPr>
        <w:t>3. Carolina Casualty Insurance Co. v. Team Equipment, Inc., 741 F.3d 1082:</w:t>
      </w:r>
      <w:r>
        <w:t xml:space="preserve"> This case reinforces the </w:t>
      </w:r>
      <w:r>
        <w:rPr>
          <w:i/>
        </w:rPr>
        <w:t>Johnson</w:t>
      </w:r>
      <w:r>
        <w:t xml:space="preserve"> holding by explicitly stating that alleging an LLC's state of organization or principal place of business is insufficient to establish diversity, supporting the Plaintiff's critique of the Defendant's Notice of Removal.</w:t>
      </w:r>
    </w:p>
    <w:p>
      <w:r>
        <w:br w:type="page"/>
      </w:r>
    </w:p>
    <w:p>
      <w:pPr>
        <w:spacing w:before="0" w:after="0"/>
      </w:pPr>
      <w:r/>
      <w:hyperlink w:anchor="accurate">
        <w:r>
          <w:rPr/>
          <w:t xml:space="preserve">↑ Triage</w:t>
        </w:r>
      </w:hyperlink>
    </w:p>
    <w:p>
      <w:pPr>
        <w:pStyle w:val="Heading3"/>
      </w:pPr>
      <w:r>
        <w:bookmarkStart w:id="25" w:name="grupodataflu21"/>
        <w:bookmarkEnd w:id="25" w:name="grupodataflu21"/>
      </w:r>
      <w:r>
        <w:t>Grupo Dataflux v. Atlas Global Grp., L.P. 541 U.S. 567</w:t>
      </w:r>
    </w:p>
    <w:p>
      <w:pPr>
        <w:spacing w:before="240" w:after="240"/>
      </w:pPr>
      <w:r>
        <w:rPr>
          <w:b/>
          <w:i/>
          <w:color w:val="3A0517"/>
        </w:rPr>
        <w:t>Use of Citation</w:t>
      </w:r>
      <w:r>
        <w:t xml:space="preserve"> 🟢</w:t>
      </w:r>
    </w:p>
    <w:p>
      <w:pPr>
        <w:spacing w:before="0" w:after="0"/>
      </w:pPr>
      <w:r>
        <w:t>Plaintiff cites Grupo Dataflux v. Atlas Global Grp., L.P. to support the legal rule that federal subject-matter jurisdiction is "assessed at the time of removal" and that "post-removal attempts to cure defective citizenship allegations cannot supply subject-matter jurisdiction where it was absent at removal" (p. 5). The citation is used in the context of Plaintiff's argument that Defendant 1032 N. Sycamore Owner (LA), LLC failed to meet its burden of establishing complete diversity because it did not identify its members or their citizenship in the Notice of Removal (p. 5). Plaintiff interprets the legal reasoning from Grupo Dataflux as establishing a strict requirement that jurisdictional facts must be properly pleaded at the moment of removal to invoke the court's power. The document directly applies this concept to argue that the Defendant's failure to allege the citizenship of each of its members at the time of removal is a fatal defect that requires mandatory remand, which cannot be cured by later factual developments or supplemental filings (p. 5).</w:t>
      </w:r>
    </w:p>
    <w:p>
      <w:pPr>
        <w:spacing w:before="240" w:after="240"/>
      </w:pPr>
      <w:r>
        <w:rPr>
          <w:b/>
          <w:i/>
          <w:color w:val="3A0517"/>
        </w:rPr>
        <w:t>Accuracy Review</w:t>
      </w:r>
    </w:p>
    <w:p>
      <w:pPr>
        <w:spacing w:before="0" w:after="0"/>
      </w:pPr>
      <w:r>
        <w:t>The citation to Grupo Dataflux v. Atlas Global Group, L. P. is an accurate application of the 'time-of-filing' rule to the removal context. The Supreme Court's decision emphasizes that 'the jurisdiction of the court depends upon the state of things at the time of the action brought' and rejects the idea that subsequent changes can retroactively create jurisdiction. Plaintiff correctly identifies that the burden of establishing jurisdiction lies with the removing party at the moment of removal. While Grupo Dataflux specifically addressed a factual change in citizenship (partners withdrawing from a partnership), its core reasoning—that jurisdictional challenges are measured against the state of facts at the time of filing—supports Plaintiff's argument that a Defendant cannot rely on post-removal developments to fix a jurisdictional void. The citation is used effectively to argue that the Defendant's failure to allege the citizenship of its members in the Notice of Removal is a fatal defect under the strict temporal requirements of federal jurisdiction.</w:t>
      </w:r>
    </w:p>
    <w:p>
      <w:pPr>
        <w:spacing w:before="240" w:after="240"/>
      </w:pPr>
      <w:r>
        <w:rPr>
          <w:b/>
          <w:i/>
          <w:color w:val="3A0517"/>
        </w:rPr>
        <w:t>Applicable Negative Treatment</w:t>
      </w:r>
    </w:p>
    <w:p>
      <w:pPr>
        <w:spacing w:before="0" w:after="0"/>
      </w:pPr>
      <w:r>
        <w:rPr>
          <w:b/>
        </w:rPr>
        <w:t>1. Northstar Financial Advisors v. Schwab Investments, 779 F.3d 1036:</w:t>
      </w:r>
      <w:r>
        <w:t xml:space="preserve"> This case distinguishes the "time-of-filing" rule established in </w:t>
      </w:r>
      <w:r>
        <w:rPr>
          <w:i/>
        </w:rPr>
        <w:t>Grupo Dataflux</w:t>
      </w:r>
      <w:r>
        <w:t>, holding that it does not apply when a party files a supplemental pleading under Federal Rule of Civil Procedure 15(d). The court determined that such a supplemental pleading can become the operative pleading for determining subject-matter jurisdiction, thereby allowing a post-filing development to cure a jurisdictional defect.</w:t>
      </w:r>
    </w:p>
    <w:p>
      <w:pPr>
        <w:spacing w:before="0" w:after="0"/>
      </w:pPr>
      <w:r>
        <w:rPr>
          <w:b/>
        </w:rPr>
        <w:t>2. Singh v. Am. Honda Fin. Corp., 925 F.3d 1053:</w:t>
      </w:r>
      <w:r>
        <w:t xml:space="preserve"> The Ninth Circuit distinguished </w:t>
      </w:r>
      <w:r>
        <w:rPr>
          <w:i/>
        </w:rPr>
        <w:t>Grupo Dataflux</w:t>
      </w:r>
      <w:r>
        <w:t xml:space="preserve"> by holding that a jurisdictional defect existing at the time of removal (such as a lack of complete diversity) can be cured by the subsequent addition of a federal claim. This limits the "time-of-filing" rule's application by allowing a post-removal change in the legal basis of the complaint to supply jurisdiction that was previously absent.</w:t>
      </w:r>
    </w:p>
    <w:p>
      <w:pPr>
        <w:spacing w:before="0" w:after="0"/>
      </w:pPr>
      <w:r>
        <w:rPr>
          <w:b/>
        </w:rPr>
        <w:t>3. Royal Canin U. S. A. v. Wullschleger, 604 U.S. 22:</w:t>
      </w:r>
      <w:r>
        <w:t xml:space="preserve"> The Supreme Court limited the policy rationale of the "time-of-filing" rule, clarifying that the interest in jurisdictional stability does not override the principle that a court's jurisdiction is determined by the claims asserted in the operative amended complaint. This suggests that amendments to pleadings can shift the jurisdictional analysis, contrary to a rigid application of the facts as they existed at the commencement of the action.</w:t>
      </w:r>
    </w:p>
    <w:p>
      <w:pPr>
        <w:spacing w:before="0" w:after="0"/>
      </w:pPr>
      <w:r>
        <w:rPr>
          <w:b/>
        </w:rPr>
        <w:t>4. City of Oakland v. BP PLC, 969 F.3d 895:</w:t>
      </w:r>
      <w:r>
        <w:t xml:space="preserve"> This case identifies a narrow exception to the strict "time-of-filing" rule and the requirement for remand. It holds that considerations of finality, efficiency, and economy may allow a court to overlook a removal defect if the case has already been tried in federal court, even if a statutory defect existed at the time of removal.</w:t>
      </w:r>
    </w:p>
    <w:p>
      <w:pPr>
        <w:spacing w:before="0" w:after="0"/>
      </w:pPr>
      <w:r>
        <w:rPr>
          <w:b/>
        </w:rPr>
        <w:t>5. In re Internet Lending Cases, 53 Cal.App.5th 613:</w:t>
      </w:r>
      <w:r>
        <w:t xml:space="preserve"> This case distinguishes the "time-of-filing" rule used in diversity jurisdiction from the rules governing tribal sovereign immunity. The court held that the "time-of-hearing" rule applies to jurisdictional challenges based on sovereign immunity, as the sovereign's right to assert or waive immunity is not fixed at the time of filing, unlike the citizenship facts in a diversity case.</w:t>
      </w:r>
    </w:p>
    <w:p>
      <w:pPr>
        <w:spacing w:before="240" w:after="240"/>
      </w:pPr>
      <w:r>
        <w:rPr>
          <w:b/>
          <w:i/>
          <w:color w:val="3A0517"/>
        </w:rPr>
        <w:t>Other Relevant Precedence</w:t>
      </w:r>
    </w:p>
    <w:p>
      <w:pPr>
        <w:spacing w:before="0" w:after="0"/>
      </w:pPr>
      <w:r>
        <w:rPr>
          <w:b/>
        </w:rPr>
        <w:t>1. Diaz v. Davis, 549 F.3d 1223 (9th Cir. 2008):</w:t>
      </w:r>
      <w:r>
        <w:t xml:space="preserve"> This Ninth Circuit case reinforces the strict application of the "time-of-filing" rule from </w:t>
      </w:r>
      <w:r>
        <w:rPr>
          <w:i/>
        </w:rPr>
        <w:t>Grupo Dataflux</w:t>
      </w:r>
      <w:r>
        <w:t>, holding that all challenges to diversity jurisdiction must be measured against the facts existing at the time of filing, regardless of the costs or subsequent evidence.</w:t>
      </w:r>
    </w:p>
    <w:p>
      <w:pPr>
        <w:spacing w:before="0" w:after="0"/>
      </w:pPr>
      <w:r>
        <w:rPr>
          <w:b/>
        </w:rPr>
        <w:t>2. 3123 SMB LLC v. Horn, 880 F.3d 461 (9th Cir. 2018):</w:t>
      </w:r>
      <w:r>
        <w:t xml:space="preserve"> This Ninth Circuit decision applies the </w:t>
      </w:r>
      <w:r>
        <w:rPr>
          <w:i/>
        </w:rPr>
        <w:t>Grupo Dataflux</w:t>
      </w:r>
      <w:r>
        <w:t xml:space="preserve"> principle that diversity jurisdiction depends on the "state of things at the time of the action brought," specifically focusing on the relevant time period for determining the citizenship of a recently formed entity.</w:t>
      </w:r>
    </w:p>
    <w:p>
      <w:pPr>
        <w:spacing w:before="0" w:after="0"/>
      </w:pPr>
      <w:r>
        <w:rPr>
          <w:b/>
        </w:rPr>
        <w:t>3. Singh v. Am. Honda Fin. Corp., 925 F.3d 1053 (9th Cir. 2019):</w:t>
      </w:r>
      <w:r>
        <w:t xml:space="preserve"> This Ninth Circuit case distinguishes between jurisdictional defects (like changes in citizenship) and statutory removal defects, citing </w:t>
      </w:r>
      <w:r>
        <w:rPr>
          <w:i/>
        </w:rPr>
        <w:t>Grupo Dataflux</w:t>
      </w:r>
      <w:r>
        <w:t xml:space="preserve"> to explain that a post-filing change in citizenship cannot cure a lack of subject-matter jurisdiction that existed at the time of filing.</w:t>
      </w:r>
    </w:p>
    <w:p>
      <w:pPr>
        <w:spacing w:before="0" w:after="0"/>
      </w:pPr>
      <w:r>
        <w:rPr>
          <w:b/>
        </w:rPr>
        <w:t>4. Voltage Pictures, LLC v. Gussi, SA DE CV, 92 F.4th 815 (9th Cir. 2024):</w:t>
      </w:r>
      <w:r>
        <w:t xml:space="preserve"> This recent Ninth Circuit case cites </w:t>
      </w:r>
      <w:r>
        <w:rPr>
          <w:i/>
        </w:rPr>
        <w:t>Grupo Dataflux</w:t>
      </w:r>
      <w:r>
        <w:t xml:space="preserve"> to emphasize that if any member of an LLC is a citizen of a foreign state (or the same state as the opposing party), diversity is lacking, reinforcing the high level of scrutiny required for LLC membership citizenship at the time of filing.</w:t>
      </w:r>
    </w:p>
    <w:p>
      <w:r>
        <w:br w:type="page"/>
      </w:r>
    </w:p>
    <w:p>
      <w:pPr>
        <w:spacing w:before="0" w:after="0"/>
      </w:pPr>
      <w:r/>
      <w:hyperlink w:anchor="accurate">
        <w:r>
          <w:rPr/>
          <w:t xml:space="preserve">↑ Triage</w:t>
        </w:r>
      </w:hyperlink>
    </w:p>
    <w:p>
      <w:pPr>
        <w:pStyle w:val="Heading3"/>
      </w:pPr>
      <w:r>
        <w:bookmarkStart w:id="26" w:name="caterpillari22"/>
        <w:bookmarkEnd w:id="26" w:name="caterpillari22"/>
      </w:r>
      <w:r>
        <w:t>Caterpillar Inc. v. Lewis 519 U.S. 61</w:t>
      </w:r>
    </w:p>
    <w:p>
      <w:pPr>
        <w:spacing w:before="240" w:after="240"/>
      </w:pPr>
      <w:r>
        <w:rPr>
          <w:b/>
          <w:i/>
          <w:color w:val="3A0517"/>
        </w:rPr>
        <w:t>Use of Citation</w:t>
      </w:r>
      <w:r>
        <w:t xml:space="preserve"> 🟢</w:t>
      </w:r>
    </w:p>
    <w:p>
      <w:pPr>
        <w:spacing w:before="0" w:after="0"/>
      </w:pPr>
      <w:r>
        <w:t>In PLAINTIFF’S NOTICE OF MOTION AND MOTION TO REMAND, Caterpillar Inc. v. Lewis, 519 U.S. 61, 68 (1996) is cited to support the legal rule that diversity jurisdiction under 28 U.S.C. § 1332(a) requires both complete diversity of citizenship and an amount in controversy exceeding $75,000 (p. 6). The document emphasizes that these two requirements are conjunctive and not alternative (p. 6). The context of this citation relates to the Plaintiff's argument that the Defendant's focus on the amount in controversy is legally irrelevant because the Defendant failed to first establish complete diversity of citizenship (p. 6). The document interprets the legal reasoning from Caterpillar Inc. v. Lewis to mean that a court lacks subject-matter jurisdiction if complete diversity is missing, regardless of how much money is at stake (p. 6). The Plaintiff directly applies this concept by asserting that because the Defendant failed to allege the citizenship of its members at the time of removal, the court should not reach the amount-in-controversy issue (p. 6).</w:t>
      </w:r>
    </w:p>
    <w:p>
      <w:pPr>
        <w:spacing w:before="240" w:after="240"/>
      </w:pPr>
      <w:r>
        <w:rPr>
          <w:b/>
          <w:i/>
          <w:color w:val="3A0517"/>
        </w:rPr>
        <w:t>Accuracy Review</w:t>
      </w:r>
    </w:p>
    <w:p>
      <w:pPr>
        <w:spacing w:before="0" w:after="0"/>
      </w:pPr>
      <w:r>
        <w:t>The citation to Caterpillar Inc. v. Lewis in the Motion to Remand is an accurate application of the legal principles stated in the opinion. The Plaintiff cites page 68 of the decision to support the proposition that diversity jurisdiction under 28 U.S.C. § 1332(a) requires complete diversity of citizenship as a conjunctive requirement alongside the amount-in-controversy threshold. This is a correct statement of the law as interpreted by the Supreme Court in Caterpillar, where the Court explicitly stated that § 1332(a) 'applies only to cases in which the citizenship of each plaintiff is diverse from the citizenship of each defendant.' The Motion does not overextend the holding; rather, it uses the Court's restatement of the 'complete diversity' rule to establish that a failure in one prong of the jurisdictional test (citizenship) precludes jurisdiction regardless of the other prong (amount). While Caterpillar is often cited for its specific holding regarding the 'curing' of jurisdictional defects prior to judgment, its affirmation of the underlying statutory requirements of § 1332(a) is a standard and accurate point of reference for motions challenging the initial propriety of removal.</w:t>
      </w:r>
    </w:p>
    <w:p>
      <w:pPr>
        <w:spacing w:before="240" w:after="240"/>
      </w:pPr>
      <w:r>
        <w:rPr>
          <w:b/>
          <w:i/>
          <w:color w:val="3A0517"/>
        </w:rPr>
        <w:t>Applicable Negative Treatment</w:t>
      </w:r>
    </w:p>
    <w:p>
      <w:pPr>
        <w:spacing w:before="0" w:after="0"/>
      </w:pPr>
      <w:r>
        <w:rPr>
          <w:b/>
        </w:rPr>
        <w:t>1. Grupo Dataflux v. Atlas Global Group, L.P., 541 U.S. 567:</w:t>
      </w:r>
      <w:r>
        <w:t xml:space="preserve"> This case treats </w:t>
      </w:r>
      <w:r>
        <w:rPr>
          <w:i/>
        </w:rPr>
        <w:t>Caterpillar</w:t>
      </w:r>
      <w:r>
        <w:t xml:space="preserve"> negatively by limiting its scope and correcting a misapprehension of its holding. The Court clarified that </w:t>
      </w:r>
      <w:r>
        <w:rPr>
          <w:i/>
        </w:rPr>
        <w:t>Caterpillar</w:t>
      </w:r>
      <w:r>
        <w:t xml:space="preserve"> did not create a broad exception to the "time-of-filing" rule for subject-matter jurisdiction; rather, its "efficiency" rationale applies only to curing statutory defects in removal (such as the failure to meet § 1441(a) requirements) through the dismissal of a non-diverse party, and does not allow a change in a continuing party's citizenship to cure a jurisdictional defect.</w:t>
      </w:r>
    </w:p>
    <w:p>
      <w:pPr>
        <w:spacing w:before="0" w:after="0"/>
      </w:pPr>
      <w:r>
        <w:rPr>
          <w:b/>
        </w:rPr>
        <w:t>2. Lexecon Inc. v. Milberg Weiss Bershad Hynes &amp; Lerach, 523 U.S. 26:</w:t>
      </w:r>
      <w:r>
        <w:t xml:space="preserve"> The Court distinguished </w:t>
      </w:r>
      <w:r>
        <w:rPr>
          <w:i/>
        </w:rPr>
        <w:t>Caterpillar</w:t>
      </w:r>
      <w:r>
        <w:t xml:space="preserve"> to hold that the "harmless error" doctrine cannot excuse a continuous violation of a mandatory statutory command (such as the remand requirement in 28 U.S.C. § 1407(a)). It limited </w:t>
      </w:r>
      <w:r>
        <w:rPr>
          <w:i/>
        </w:rPr>
        <w:t>Caterpillar</w:t>
      </w:r>
      <w:r>
        <w:t xml:space="preserve"> to instances of "untimely compliance" where a statutory defect is actually cured before judgment, rather than allowing for the "continuous defiance" of congressional mandates.</w:t>
      </w:r>
    </w:p>
    <w:p>
      <w:pPr>
        <w:spacing w:before="0" w:after="0"/>
      </w:pPr>
      <w:r>
        <w:rPr>
          <w:b/>
        </w:rPr>
        <w:t>3. City of Oakland v. BP PLC, 969 F.3d 895:</w:t>
      </w:r>
      <w:r>
        <w:t xml:space="preserve"> This case characterizes </w:t>
      </w:r>
      <w:r>
        <w:rPr>
          <w:i/>
        </w:rPr>
        <w:t>Caterpillar</w:t>
      </w:r>
      <w:r>
        <w:t xml:space="preserve"> as a "narrow exception" to the rule requiring remand of improperly removed cases. It limits the application of the "finality, efficiency, and economy" rationale to cases that have actually been tried in federal court, concluding the exception does not apply to cases resolved at the pleading stage.</w:t>
      </w:r>
    </w:p>
    <w:p>
      <w:pPr>
        <w:spacing w:before="240" w:after="240"/>
      </w:pPr>
      <w:r>
        <w:rPr>
          <w:b/>
          <w:i/>
          <w:color w:val="3A0517"/>
        </w:rPr>
        <w:t>Other Relevant Precedence</w:t>
      </w:r>
    </w:p>
    <w:p>
      <w:pPr>
        <w:spacing w:before="0" w:after="0"/>
      </w:pPr>
      <w:r>
        <w:rPr>
          <w:b/>
        </w:rPr>
        <w:t>1. Demarest v. HSBC Bank USA, 920 F.3d 1223:</w:t>
      </w:r>
      <w:r>
        <w:t xml:space="preserve"> This Ninth Circuit case cites </w:t>
      </w:r>
      <w:r>
        <w:rPr>
          <w:i/>
        </w:rPr>
        <w:t>Caterpillar</w:t>
      </w:r>
      <w:r>
        <w:t xml:space="preserve"> to define the "complete diversity" requirement under 28 U.S.C. § 1332(a), providing a direct jurisdictional match for the proposition that each plaintiff must be diverse from each defendant.</w:t>
      </w:r>
    </w:p>
    <w:p>
      <w:pPr>
        <w:spacing w:before="0" w:after="0"/>
      </w:pPr>
      <w:r>
        <w:rPr>
          <w:b/>
        </w:rPr>
        <w:t>2. Grancare, LLC v. Thrower, 889 F.3d 543:</w:t>
      </w:r>
      <w:r>
        <w:t xml:space="preserve"> This Ninth Circuit decision cites </w:t>
      </w:r>
      <w:r>
        <w:rPr>
          <w:i/>
        </w:rPr>
        <w:t>Caterpillar</w:t>
      </w:r>
      <w:r>
        <w:t xml:space="preserve"> specifically in the context of diversity removal, affirming that removal requires complete diversity between all plaintiffs and defendants.</w:t>
      </w:r>
    </w:p>
    <w:p>
      <w:pPr>
        <w:spacing w:before="0" w:after="0"/>
      </w:pPr>
      <w:r>
        <w:rPr>
          <w:b/>
        </w:rPr>
        <w:t>3. Grupo Dataflux v. Atlas Global Group, L.P., 541 U.S. 567:</w:t>
      </w:r>
      <w:r>
        <w:t xml:space="preserve"> This Supreme Court case clarifies and limits the holding in </w:t>
      </w:r>
      <w:r>
        <w:rPr>
          <w:i/>
        </w:rPr>
        <w:t>Caterpillar</w:t>
      </w:r>
      <w:r>
        <w:t>, explaining that the "efficiency" rationale used to overlook a removal defect applies only to statutory procedural errors, not to fundamental subject-matter jurisdiction defects present at the time of filing or removal.</w:t>
      </w:r>
    </w:p>
    <w:p>
      <w:pPr>
        <w:spacing w:before="0" w:after="0"/>
      </w:pPr>
      <w:r>
        <w:rPr>
          <w:b/>
        </w:rPr>
        <w:t>4. Cook v. AVI Casino Enterprises, Inc., 548 F.3d 718:</w:t>
      </w:r>
      <w:r>
        <w:t xml:space="preserve"> This Ninth Circuit case cites </w:t>
      </w:r>
      <w:r>
        <w:rPr>
          <w:i/>
        </w:rPr>
        <w:t>Caterpillar</w:t>
      </w:r>
      <w:r>
        <w:t xml:space="preserve"> to support the requirement of complete diversity of citizenship, reinforcing the conjunctive nature of the jurisdictional requirements discussed in the motion.</w:t>
      </w:r>
    </w:p>
    <w:p>
      <w:pPr>
        <w:spacing w:before="0" w:after="0"/>
      </w:pPr>
      <w:r>
        <w:rPr>
          <w:b/>
        </w:rPr>
        <w:t>5. Exxon Mobil Corp. v. Allapattah Services, Inc., 545 U.S. 546:</w:t>
      </w:r>
      <w:r>
        <w:t xml:space="preserve"> This Supreme Court case cites </w:t>
      </w:r>
      <w:r>
        <w:rPr>
          <w:i/>
        </w:rPr>
        <w:t>Caterpillar</w:t>
      </w:r>
      <w:r>
        <w:t xml:space="preserve"> to contrast the "contamination" effect of a lack of complete diversity (which destroys jurisdiction for the whole case) with a failure to meet the amount-in-controversy requirement for specific claims.</w:t>
      </w:r>
    </w:p>
    <w:p>
      <w:r>
        <w:br w:type="page"/>
      </w:r>
    </w:p>
    <w:p>
      <w:pPr>
        <w:spacing w:before="0" w:after="0"/>
      </w:pPr>
      <w:r/>
      <w:hyperlink w:anchor="accurate">
        <w:r>
          <w:rPr/>
          <w:t xml:space="preserve">↑ Triage</w:t>
        </w:r>
      </w:hyperlink>
    </w:p>
    <w:p>
      <w:pPr>
        <w:pStyle w:val="Heading3"/>
      </w:pPr>
      <w:r>
        <w:bookmarkStart w:id="27" w:name="caterpillari23"/>
        <w:bookmarkEnd w:id="27" w:name="caterpillari23"/>
      </w:r>
      <w:r>
        <w:t>Caterpillar Inc. v. Williams 482 U.S. 386</w:t>
      </w:r>
    </w:p>
    <w:p>
      <w:pPr>
        <w:spacing w:before="240" w:after="240"/>
      </w:pPr>
      <w:r>
        <w:rPr>
          <w:b/>
          <w:i/>
          <w:color w:val="3A0517"/>
        </w:rPr>
        <w:t>Use of Citation</w:t>
      </w:r>
      <w:r>
        <w:t xml:space="preserve"> 🟢</w:t>
      </w:r>
    </w:p>
    <w:p>
      <w:pPr>
        <w:spacing w:before="0" w:after="0"/>
      </w:pPr>
      <w:r>
        <w:t>PLAINTIFF’S NOTICE OF MOTION AND MOTION TO REMAND cites Caterpillar Inc. v. Williams to establish the well-pleaded complaint rule, which dictates that federal-question jurisdiction exists only if a federal issue is apparent on the face of the plaintiff's complaint (p. 6). It further uses the case to support the legal rule that the plaintiff is the master of the claim and possesses the authority to avoid federal jurisdiction by exclusive reliance on state law (p. 6). In the context of this motion, the citation is used to argue that the court lacks jurisdiction under 28 U.S.C. § 1331 because the First Amended Complaint (FAC) contains only California statutory and common-law claims (p. 6-7). The document interprets the reasoning in Caterpillar as a prohibition against courts recharacterizing or inferring federal claims when a plaintiff has elected to proceed under state law (p. 6). The legal concepts from Caterpillar are directly applied to the facts of the case; the Plaintiff argues that because they chose to plead twelve state-law causes of action and no federal remedies, the master of the claim principle prevents the attachment of federal-question jurisdiction (p. 7).</w:t>
      </w:r>
    </w:p>
    <w:p>
      <w:pPr>
        <w:spacing w:before="240" w:after="240"/>
      </w:pPr>
      <w:r>
        <w:rPr>
          <w:b/>
          <w:i/>
          <w:color w:val="3A0517"/>
        </w:rPr>
        <w:t>Accuracy Review</w:t>
      </w:r>
    </w:p>
    <w:p>
      <w:pPr>
        <w:spacing w:before="0" w:after="0"/>
      </w:pPr>
      <w:r>
        <w:t>The citation to Caterpillar Inc. v. Williams in the Motion to Remand is an accurate application of the law. The Motion correctly identifies the 'well-pleaded complaint rule' and the 'master of the claim' doctrine as the governing standards for federal-question jurisdiction under 28 U.S.C. § 1331. The application is consistent with the original decision because Zeus Realty Group LLC has limited its FAC to twelve causes of action based on California law, such as breach of lease and fraud, without invoking federal statutes. The Motion correctly notes that a court may not recharacterize state claims to create jurisdiction, which aligns with Caterpillar’s holding that a defendant cannot transform a state-law claim into a federal one by injecting a federal defense. While Caterpillar specifically dealt with LMRA preemption, the jurisdictional principles it established are foundational and appropriately applied here to a commercial real estate dispute. There is no evidence of mischaracterization or contextual overextension, as the Motion uses the case for its primary, settled procedural rules regarding removal.</w:t>
      </w:r>
    </w:p>
    <w:p>
      <w:pPr>
        <w:spacing w:before="240" w:after="240"/>
      </w:pPr>
      <w:r>
        <w:rPr>
          <w:b/>
          <w:i/>
          <w:color w:val="3A0517"/>
        </w:rPr>
        <w:t>Use of Quotes</w:t>
      </w:r>
      <w:r>
        <w:bookmarkStart w:id="28" w:name="caterpillari24"/>
        <w:bookmarkEnd w:id="28" w:name="caterpillari24"/>
      </w:r>
    </w:p>
    <w:p>
      <w:pPr>
        <w:spacing w:before="240" w:after="240"/>
      </w:pPr>
      <w:r>
        <w:t xml:space="preserve">🟢 </w:t>
      </w:r>
      <w:r>
        <w:rPr>
          <w:b/>
          <w:i/>
          <w:color w:val="3A0517"/>
        </w:rPr>
        <w:t>Quote 1 - 482 U.S. 386, 392 (1987)</w:t>
      </w:r>
    </w:p>
    <w:p>
      <w:pPr>
        <w:pStyle w:val="Quote"/>
      </w:pPr>
      <w:r>
        <w:t>The rule makes the Plaintiff the master of the claim; he or she may avoid federal jurisdiction by exclusive reliance on state law.</w:t>
      </w:r>
    </w:p>
    <w:p>
      <w:pPr>
        <w:spacing w:before="0" w:after="0"/>
      </w:pPr>
      <w:r>
        <w:t>The quote 'The rule makes the Plaintiff the master of the claim; he or she may avoid federal jurisdiction by exclusive reliance on state law' actually exists on page 392 of the Caterpillar opinion. It is an accurate and complete representation of the Court's statement regarding the well-pleaded complaint rule. The quote is applied in a contextually complete manner, as it is used to support the Plaintiff's right to choose state court by pleading only state-law causes of action.</w:t>
      </w:r>
    </w:p>
    <w:p>
      <w:pPr>
        <w:spacing w:before="240" w:after="240"/>
      </w:pPr>
      <w:r>
        <w:rPr>
          <w:b/>
          <w:i/>
          <w:color w:val="3A0517"/>
        </w:rPr>
        <w:t>Applicable Negative Treatment</w:t>
      </w:r>
    </w:p>
    <w:p>
      <w:pPr>
        <w:spacing w:before="0" w:after="0"/>
      </w:pPr>
      <w:r>
        <w:rPr>
          <w:b/>
        </w:rPr>
        <w:t>1. Bastien v. AT&amp;T Wireless Services, Inc., 205 F.3d 983:</w:t>
      </w:r>
      <w:r>
        <w:t xml:space="preserve"> This case limits the "master of the complaint" rule established in </w:t>
      </w:r>
      <w:r>
        <w:rPr>
          <w:i/>
        </w:rPr>
        <w:t>Caterpillar</w:t>
      </w:r>
      <w:r>
        <w:t xml:space="preserve"> by reinforcing the "artful pleading" doctrine. It holds that a plaintiff cannot avoid federal jurisdiction by framing a claim under state law if the claim is, in substance, a federal claim, and that courts are not bound by the labels in a complaint if it actually raises a federal question.</w:t>
      </w:r>
    </w:p>
    <w:p>
      <w:pPr>
        <w:spacing w:before="0" w:after="0"/>
      </w:pPr>
      <w:r>
        <w:rPr>
          <w:b/>
        </w:rPr>
        <w:t>2. Aetna Health Inc. v. Davila, 542 U.S. 200:</w:t>
      </w:r>
      <w:r>
        <w:t xml:space="preserve"> The Supreme Court distinguished </w:t>
      </w:r>
      <w:r>
        <w:rPr>
          <w:i/>
        </w:rPr>
        <w:t>Caterpillar</w:t>
      </w:r>
      <w:r>
        <w:t xml:space="preserve">, noting that the "master of the claim" principle does not prevent removal when state-law causes of action are not "entirely independent" of a federally regulated scheme. It held that if a claim derives from rights and obligations established by federal law (such as ERISA), it is completely preempted and removable, unlike the independent individual contracts in </w:t>
      </w:r>
      <w:r>
        <w:rPr>
          <w:i/>
        </w:rPr>
        <w:t>Caterpillar</w:t>
      </w:r>
      <w:r>
        <w:t>.</w:t>
      </w:r>
    </w:p>
    <w:p>
      <w:pPr>
        <w:spacing w:before="0" w:after="0"/>
      </w:pPr>
      <w:r>
        <w:rPr>
          <w:b/>
        </w:rPr>
        <w:t>3. Gola v. University of San Francisco, 90 Cal.App.5th 548:</w:t>
      </w:r>
      <w:r>
        <w:t xml:space="preserve"> This opinion distinguishes </w:t>
      </w:r>
      <w:r>
        <w:rPr>
          <w:i/>
        </w:rPr>
        <w:t>Caterpillar</w:t>
      </w:r>
      <w:r>
        <w:t xml:space="preserve"> by clarifying that the "well-pleaded complaint rule" does not bar removal when the interpretation of a federal document, such as a collective bargaining agreement, is required to resolve the core claims pleaded by the plaintiff, rather than being raised merely as an affirmative defense by the defendant.</w:t>
      </w:r>
    </w:p>
    <w:p>
      <w:pPr>
        <w:spacing w:before="0" w:after="0"/>
      </w:pPr>
      <w:r>
        <w:rPr>
          <w:b/>
        </w:rPr>
        <w:t>4. Beneficial National Bank v. Anderson, 539 U.S. 1:</w:t>
      </w:r>
      <w:r>
        <w:t xml:space="preserve"> This case limits the proposition that a federal defense cannot justify removal. It clarifies that if a federal statute provides the exclusive cause of action for the claim asserted, it "completely preempts" the state-law claim, making the case removable to federal court regardless of the plaintiff's exclusive reliance on state law in the complaint.</w:t>
      </w:r>
    </w:p>
    <w:p>
      <w:pPr>
        <w:spacing w:before="0" w:after="0"/>
      </w:pPr>
      <w:r>
        <w:rPr>
          <w:b/>
        </w:rPr>
        <w:t>5. Sparta Surgical Corp. v. National Ass'n of Securities Dealers, Inc., 159 F.3d 1209:</w:t>
      </w:r>
      <w:r>
        <w:t xml:space="preserve"> The Ninth Circuit distinguished </w:t>
      </w:r>
      <w:r>
        <w:rPr>
          <w:i/>
        </w:rPr>
        <w:t>Caterpillar</w:t>
      </w:r>
      <w:r>
        <w:t xml:space="preserve"> by holding that removal is proper when a plaintiff's claims, though framed as state-law violations, are grounded in rights or liabilities committed exclusively to federal jurisdiction by statute. It noted that </w:t>
      </w:r>
      <w:r>
        <w:rPr>
          <w:i/>
        </w:rPr>
        <w:t>Caterpillar</w:t>
      </w:r>
      <w:r>
        <w:t xml:space="preserve"> involved claims not grounded in such federal rights, whereas removal is appropriate when a plaintiff chooses to plead what must be legally regarded as a federal claim.</w:t>
      </w:r>
    </w:p>
    <w:p>
      <w:pPr>
        <w:spacing w:before="240" w:after="240"/>
      </w:pPr>
      <w:r>
        <w:rPr>
          <w:b/>
          <w:i/>
          <w:color w:val="3A0517"/>
        </w:rPr>
        <w:t>Other Relevant Precedence</w:t>
      </w:r>
    </w:p>
    <w:p>
      <w:pPr>
        <w:spacing w:before="0" w:after="0"/>
      </w:pPr>
      <w:r>
        <w:rPr>
          <w:b/>
        </w:rPr>
        <w:t>1. Faulk v. Jeld-wen, INC., No. 24-4078 (9th Cir. Nov. 14, 2025):</w:t>
      </w:r>
      <w:r>
        <w:t xml:space="preserve"> This recent Ninth Circuit decision reinforces the "master of the complaint" principle from </w:t>
      </w:r>
      <w:r>
        <w:rPr>
          <w:i/>
        </w:rPr>
        <w:t>Caterpillar</w:t>
      </w:r>
      <w:r>
        <w:t>, specifically affirming that a plaintiff's authority to determine substantive claims allows them to establish or eliminate the basis for federal subject-matter jurisdiction.</w:t>
      </w:r>
    </w:p>
    <w:p>
      <w:pPr>
        <w:spacing w:before="0" w:after="0"/>
      </w:pPr>
      <w:r>
        <w:rPr>
          <w:b/>
        </w:rPr>
        <w:t>2. Walker v. Arizona, No. 24-1806 (9th Cir. Oct. 22, 2025):</w:t>
      </w:r>
      <w:r>
        <w:t xml:space="preserve"> This Ninth Circuit case applies the "master of the complaint" doctrine to show that a plaintiff's tactical decision to exclude or dismiss federal claims effectively removes the basis for federal-question jurisdiction under 28 U.S.C. § 1331.</w:t>
      </w:r>
    </w:p>
    <w:p>
      <w:pPr>
        <w:spacing w:before="0" w:after="0"/>
      </w:pPr>
      <w:r>
        <w:rPr>
          <w:b/>
        </w:rPr>
        <w:t>3. Ruiz v. the Bradford Exchange, LTD., No. 24-3378 (9th Cir. Aug. 28, 2025):</w:t>
      </w:r>
      <w:r>
        <w:t xml:space="preserve"> This case provides a direct jurisdictional match and contemporary precedent for the proposition that plaintiffs are free to selectively plead claims to avoid federal court jurisdiction.</w:t>
      </w:r>
    </w:p>
    <w:p>
      <w:pPr>
        <w:spacing w:before="0" w:after="0"/>
      </w:pPr>
      <w:r>
        <w:rPr>
          <w:b/>
        </w:rPr>
        <w:t>4. ARCO Environmental Remediation, L.L.C. v. Department of Health &amp; Environmental Quality, 213 F.3d 1108:</w:t>
      </w:r>
      <w:r>
        <w:t xml:space="preserve"> A foundational Ninth Circuit authority that cites </w:t>
      </w:r>
      <w:r>
        <w:rPr>
          <w:i/>
        </w:rPr>
        <w:t>Caterpillar</w:t>
      </w:r>
      <w:r>
        <w:t xml:space="preserve"> to establish that federal-question jurisdiction exists only when presented on the face of a properly pleaded complaint and that a plaintiff may defeat removal by choosing not to plead independent federal claims.</w:t>
      </w:r>
    </w:p>
    <w:p>
      <w:pPr>
        <w:spacing w:before="0" w:after="0"/>
      </w:pPr>
      <w:r>
        <w:rPr>
          <w:b/>
        </w:rPr>
        <w:t>5. Negrete v. City of Oakland, 46 F.4th 811:</w:t>
      </w:r>
      <w:r>
        <w:t xml:space="preserve"> This Ninth Circuit case reinforces the "well-pleaded complaint" rule by clarifying that a case may not be removed to federal court based on a federal defense, even if the plaintiff anticipates that defense in their complaint.</w:t>
      </w:r>
    </w:p>
    <w:p>
      <w:r>
        <w:br w:type="page"/>
      </w:r>
    </w:p>
    <w:p>
      <w:pPr>
        <w:spacing w:before="0" w:after="0"/>
      </w:pPr>
      <w:r/>
      <w:hyperlink w:anchor="accurate">
        <w:r>
          <w:rPr/>
          <w:t xml:space="preserve">↑ Triage</w:t>
        </w:r>
      </w:hyperlink>
    </w:p>
    <w:p>
      <w:pPr>
        <w:pStyle w:val="Heading3"/>
      </w:pPr>
      <w:r>
        <w:bookmarkStart w:id="29" w:name="rainsvcriter25"/>
        <w:bookmarkEnd w:id="29" w:name="rainsvcriter25"/>
      </w:r>
      <w:r>
        <w:t>Rains v. Criterion Sys., Inc. 80 F.3d 339</w:t>
      </w:r>
    </w:p>
    <w:p>
      <w:pPr>
        <w:spacing w:before="240" w:after="240"/>
      </w:pPr>
      <w:r>
        <w:rPr>
          <w:b/>
          <w:i/>
          <w:color w:val="3A0517"/>
        </w:rPr>
        <w:t>Use of Citation</w:t>
      </w:r>
      <w:r>
        <w:t xml:space="preserve"> 🟢</w:t>
      </w:r>
    </w:p>
    <w:p>
      <w:pPr>
        <w:spacing w:before="0" w:after="0"/>
      </w:pPr>
      <w:r>
        <w:t>Plaintiff cites Rains v. Criterion Sys., Inc. to support the legal rule that federal-question jurisdiction does not attach when a claim can be supported by alternative and independent state-law theories, as federal law is not a necessary element of the claim in such instances (p. 6-7). This citation occurs within the context of Plaintiff's argument that the court lacks federal-question jurisdiction because the First Amended Complaint (FAC) relies exclusively on state law (p. 6). Plaintiff interprets the reasoning in Rains to mean that courts should decline to infer federal jurisdiction where a plaintiff has elected to proceed under state law, even if a federal claim could hypothetically be framed (p. 6). Plaintiff applies this concept directly by asserting that since the FAC only pleads California statutory and common-law causes of action and seeks no federal remedy, federal law is not a necessary element of the claims, and thus no jurisdiction exists under 28 U.S.C. § 1331 (p. 7).</w:t>
      </w:r>
    </w:p>
    <w:p>
      <w:pPr>
        <w:spacing w:before="240" w:after="240"/>
      </w:pPr>
      <w:r>
        <w:rPr>
          <w:b/>
          <w:i/>
          <w:color w:val="3A0517"/>
        </w:rPr>
        <w:t>Accuracy Review</w:t>
      </w:r>
    </w:p>
    <w:p>
      <w:pPr>
        <w:spacing w:before="0" w:after="0"/>
      </w:pPr>
      <w:r>
        <w:t>The citation of Rains v. Criterion Sys., Inc. in the Plaintiff’s Motion to Remand is an accurate and appropriate application of Ninth Circuit precedent. The Plaintiff correctly identifies the core holding of Rains: that federal-question jurisdiction does not attach when a state-law claim can be supported by alternative and independent state-law theories, as federal law is then not a 'necessary element' of the claim. The application is contextually sound; although Rains dealt with employment law and the present case involves a commercial lease, the jurisdictional principles regarding the 'master of the complaint' and the limits of 28 U.S.C. § 1331 are identical. Zeus Realty Group LLC uses the case to reinforce the 'well-pleaded complaint' rule, arguing that since they elected to proceed solely under state law, the court must respect that choice. There is no evidence of mischaracterization or overextension, as the Motion uses Rains to support a standard jurisdictional argument that aligns with the Ninth Circuit's reasoning that a plaintiff may avoid federal jurisdiction by exclusive reliance on state law.</w:t>
      </w:r>
    </w:p>
    <w:p>
      <w:pPr>
        <w:spacing w:before="240" w:after="240"/>
      </w:pPr>
      <w:r>
        <w:rPr>
          <w:b/>
          <w:i/>
          <w:color w:val="3A0517"/>
        </w:rPr>
        <w:t>Applicable Negative Treatment</w:t>
      </w:r>
    </w:p>
    <w:p>
      <w:pPr>
        <w:spacing w:before="0" w:after="0"/>
      </w:pPr>
      <w:r>
        <w:rPr>
          <w:b/>
        </w:rPr>
        <w:t>1. Nevada v. Bank of America Corp., 672 F.3d 661:</w:t>
      </w:r>
      <w:r>
        <w:t xml:space="preserve"> Distinguishes the "alternative and independent theories" rule from </w:t>
      </w:r>
      <w:r>
        <w:rPr>
          <w:i/>
        </w:rPr>
        <w:t>Rains</w:t>
      </w:r>
      <w:r>
        <w:t>, clarifying that federal jurisdiction attaches if the federal issue is a necessary element of the claim rather than a redundant or incidental theory.</w:t>
      </w:r>
    </w:p>
    <w:p>
      <w:pPr>
        <w:spacing w:before="0" w:after="0"/>
      </w:pPr>
      <w:r>
        <w:rPr>
          <w:b/>
        </w:rPr>
        <w:t>2. Easton v. Crossland Mortgage Corp., 114 F.3d 979:</w:t>
      </w:r>
      <w:r>
        <w:t xml:space="preserve"> Limits the "master of the complaint" principle by clarifying that a plaintiff cannot avoid federal jurisdiction by omitting federal law essential to the claim or by disguising a federal claim as a state law claim.</w:t>
      </w:r>
    </w:p>
    <w:p>
      <w:pPr>
        <w:spacing w:before="0" w:after="0"/>
      </w:pPr>
      <w:r>
        <w:rPr>
          <w:b/>
        </w:rPr>
        <w:t>3. Sparta Surgical Corp. v. National Ass'n of Securities Dealers, Inc., 159 F.3d 1209:</w:t>
      </w:r>
      <w:r>
        <w:t xml:space="preserve"> Limits the "master of the complaint" rule by holding that federal jurisdiction is proper when the underlying conduct is governed by federal law, even if the claims are articulated in state-law terms.</w:t>
      </w:r>
    </w:p>
    <w:p>
      <w:pPr>
        <w:spacing w:before="240" w:after="240"/>
      </w:pPr>
      <w:r>
        <w:rPr>
          <w:b/>
          <w:i/>
          <w:color w:val="3A0517"/>
        </w:rPr>
        <w:t>Other Relevant Precedence</w:t>
      </w:r>
    </w:p>
    <w:p>
      <w:pPr>
        <w:spacing w:before="0" w:after="0"/>
      </w:pPr>
      <w:r>
        <w:rPr>
          <w:b/>
        </w:rPr>
        <w:t>1. Lippitt v. Raymond James Financial Services, Inc., 340 F.3d 1033:</w:t>
      </w:r>
      <w:r>
        <w:t xml:space="preserve"> This Ninth Circuit case applies the </w:t>
      </w:r>
      <w:r>
        <w:rPr>
          <w:i/>
        </w:rPr>
        <w:t>Rains</w:t>
      </w:r>
      <w:r>
        <w:t xml:space="preserve"> rule that federal question jurisdiction is absent if a claim is supported by alternative state-law theories.</w:t>
      </w:r>
    </w:p>
    <w:p>
      <w:pPr>
        <w:spacing w:before="0" w:after="0"/>
      </w:pPr>
      <w:r>
        <w:rPr>
          <w:b/>
        </w:rPr>
        <w:t>2. Nevada v. Bank of America Corp., 672 F.3d 661:</w:t>
      </w:r>
      <w:r>
        <w:t xml:space="preserve"> This Ninth Circuit decision reaffirms that federal law is not a necessary element of a claim when independent state-law theories are available.</w:t>
      </w:r>
    </w:p>
    <w:p>
      <w:pPr>
        <w:spacing w:before="0" w:after="0"/>
      </w:pPr>
      <w:r>
        <w:rPr>
          <w:b/>
        </w:rPr>
        <w:t>3. Easton v. Crossland Mortgage Corp., 114 F.3d 979:</w:t>
      </w:r>
      <w:r>
        <w:t xml:space="preserve"> This Ninth Circuit case confirms that mere references to federal statutes do not confer jurisdiction if the federal law is not a necessary element of the state claim.</w:t>
      </w:r>
    </w:p>
    <w:p>
      <w:pPr>
        <w:spacing w:before="0" w:after="0"/>
      </w:pPr>
      <w:r>
        <w:rPr>
          <w:b/>
        </w:rPr>
        <w:t>4. Arco Environmental Remediation, L.L.C. v. Department of Health &amp; Environmental Quality, 213 F.3d 1108:</w:t>
      </w:r>
      <w:r>
        <w:t xml:space="preserve"> This Ninth Circuit case supports the rule that references to federal law do not create a federal cause of action where state law creates the right to relief.</w:t>
      </w:r>
    </w:p>
    <w:p>
      <w:r>
        <w:br w:type="page"/>
      </w:r>
    </w:p>
    <w:p>
      <w:pPr>
        <w:spacing w:before="0" w:after="0"/>
      </w:pPr>
      <w:r/>
      <w:hyperlink w:anchor="accurate">
        <w:r>
          <w:rPr/>
          <w:t xml:space="preserve">↑ Triage</w:t>
        </w:r>
      </w:hyperlink>
    </w:p>
    <w:p>
      <w:pPr>
        <w:pStyle w:val="Heading3"/>
      </w:pPr>
      <w:r>
        <w:bookmarkStart w:id="30" w:name="martinvfrank26"/>
        <w:bookmarkEnd w:id="30" w:name="martinvfrank26"/>
      </w:r>
      <w:r>
        <w:t>Martin v. Franklin Capital Corp. 546 U.S. 132</w:t>
      </w:r>
    </w:p>
    <w:p>
      <w:pPr>
        <w:spacing w:before="240" w:after="240"/>
      </w:pPr>
      <w:r>
        <w:rPr>
          <w:b/>
          <w:i/>
          <w:color w:val="3A0517"/>
        </w:rPr>
        <w:t>Use of Citation</w:t>
      </w:r>
      <w:r>
        <w:t xml:space="preserve"> 🟢</w:t>
      </w:r>
    </w:p>
    <w:p>
      <w:pPr>
        <w:spacing w:before="0" w:after="0"/>
      </w:pPr>
      <w:r>
        <w:t>PLAINTIFF’S NOTICE OF MOTION AND MOTION TO REMAND cites Martin v. Franklin Capital Corp. to establish the legal standard for awarding attorney's fees and costs following a remand to state court (p. 8). The document cites the case for the legal rule that a court may award fees and costs under 28 U.S.C. § 1447(c) when the removing party lacked an "objectively reasonable basis" for removal (p. 8). In the context of this litigation, Plaintiff argues that the Defendant's removal was legally deficient because it failed to properly allege the citizenship of its members, instead relying on "information and belief" (p. 8). The document interprets Martin as providing the threshold for fee-shifting, where the lack of a reasonable legal basis for removal justifies compensating the plaintiff for the costs of the remand motion (p. 8). Plaintiff directly applies this standard by asserting that the Defendant's specific failures in the Notice of Removal constitute a lack of an objectively reasonable basis, thereby entitling Plaintiff to an award of fees (p. 8).</w:t>
      </w:r>
    </w:p>
    <w:p>
      <w:pPr>
        <w:spacing w:before="240" w:after="240"/>
      </w:pPr>
      <w:r>
        <w:rPr>
          <w:b/>
          <w:i/>
          <w:color w:val="3A0517"/>
        </w:rPr>
        <w:t>Accuracy Review</w:t>
      </w:r>
    </w:p>
    <w:p>
      <w:pPr>
        <w:spacing w:before="0" w:after="0"/>
      </w:pPr>
      <w:r>
        <w:t>The citation to Martin v. Franklin Capital Corp. is highly accurate and appropriate. The document correctly identifies the "objectively reasonable basis" standard for attorney's fees under 28 U.S.C. § 1447(c). It applies this standard to the defendant's failure to meet the specific pleading requirements for diversity jurisdiction involving an LLC. In the Ninth Circuit, the citizenship of an LLC is determined by the citizenship of all its members, and pleading this on "information and belief" is generally insufficient. By citing Martin, the plaintiff correctly identifies the legal threshold for fee-shifting, and the application is consistent with the Supreme Court's intent to deter improper removals that prolong litigation. The citation does not overextend the rule or mischaracterize the holding.</w:t>
      </w:r>
    </w:p>
    <w:p>
      <w:pPr>
        <w:spacing w:before="240" w:after="240"/>
      </w:pPr>
      <w:r>
        <w:rPr>
          <w:b/>
          <w:i/>
          <w:color w:val="3A0517"/>
        </w:rPr>
        <w:t>Use of Quotes</w:t>
      </w:r>
      <w:r>
        <w:bookmarkStart w:id="31" w:name="martinvfrank27"/>
        <w:bookmarkEnd w:id="31" w:name="martinvfrank27"/>
      </w:r>
    </w:p>
    <w:p>
      <w:pPr>
        <w:spacing w:before="240" w:after="240"/>
      </w:pPr>
      <w:r>
        <w:t xml:space="preserve">🟢 </w:t>
      </w:r>
      <w:r>
        <w:rPr>
          <w:b/>
          <w:i/>
          <w:color w:val="3A0517"/>
        </w:rPr>
        <w:t>Quote 1 - 546 U.S. 132, 140–41 (2005)</w:t>
      </w:r>
    </w:p>
    <w:p>
      <w:pPr>
        <w:pStyle w:val="Quote"/>
      </w:pPr>
      <w:r>
        <w:t>objectively reasonable basis</w:t>
      </w:r>
    </w:p>
    <w:p>
      <w:pPr>
        <w:spacing w:before="0" w:after="0"/>
      </w:pPr>
      <w:r>
        <w:t>The quote "objectively reasonable basis" is found on page 141 of the Martin v. Franklin Capital Corp. opinion. It is the exact phrase used by the Supreme Court to establish the standard for awarding attorney's fees under 28 U.S.C. § 1447(c). The document uses this quote to correctly state the legal test Zeus must satisfy to recover costs. The application is contextually complete as it addresses the core requirement for the requested relief.</w:t>
      </w:r>
    </w:p>
    <w:p>
      <w:pPr>
        <w:spacing w:before="240" w:after="240"/>
      </w:pPr>
      <w:r>
        <w:rPr>
          <w:b/>
          <w:i/>
          <w:color w:val="3A0517"/>
        </w:rPr>
        <w:t>Other Relevant Precedence</w:t>
      </w:r>
    </w:p>
    <w:p>
      <w:pPr>
        <w:spacing w:before="0" w:after="0"/>
      </w:pPr>
      <w:r>
        <w:rPr>
          <w:b/>
        </w:rPr>
        <w:t>1. Lussier v. Dollar Tree Stores, Inc., 518 F.3d 1062:</w:t>
      </w:r>
      <w:r>
        <w:t xml:space="preserve"> This Ninth Circuit case applies the </w:t>
      </w:r>
      <w:r>
        <w:rPr>
          <w:i/>
        </w:rPr>
        <w:t>Martin</w:t>
      </w:r>
      <w:r>
        <w:t xml:space="preserve"> standard to review a district court's denial of attorney's fees, confirming that the reasonableness of the removal is the "key factor" in the Ninth Circuit.</w:t>
      </w:r>
    </w:p>
    <w:p>
      <w:pPr>
        <w:spacing w:before="0" w:after="0"/>
      </w:pPr>
      <w:r>
        <w:rPr>
          <w:b/>
        </w:rPr>
        <w:t>2. Grancare, LLC v. Thrower, 889 F.3d 543:</w:t>
      </w:r>
      <w:r>
        <w:t xml:space="preserve"> This Ninth Circuit case provides a more recent application of the </w:t>
      </w:r>
      <w:r>
        <w:rPr>
          <w:i/>
        </w:rPr>
        <w:t>Martin</w:t>
      </w:r>
      <w:r>
        <w:t xml:space="preserve"> "objectively reasonable basis" standard when evaluating a request for costs and fees following a remand order.</w:t>
      </w:r>
    </w:p>
    <w:p>
      <w:pPr>
        <w:spacing w:before="0" w:after="0"/>
      </w:pPr>
      <w:r>
        <w:rPr>
          <w:b/>
        </w:rPr>
        <w:t>3. Gardner v. UICI, 508 F.3d 559:</w:t>
      </w:r>
      <w:r>
        <w:t xml:space="preserve"> This Ninth Circuit case establishes the framework for awarding attorney's fees under § 1447(c) within the circuit, directly applying the </w:t>
      </w:r>
      <w:r>
        <w:rPr>
          <w:i/>
        </w:rPr>
        <w:t>Martin</w:t>
      </w:r>
      <w:r>
        <w:t xml:space="preserve"> standard to determine if a defendant's removal was objectively reasonable.</w:t>
      </w:r>
    </w:p>
    <w:p>
      <w:pPr>
        <w:spacing w:before="0" w:after="0"/>
      </w:pPr>
      <w:r>
        <w:rPr>
          <w:b/>
        </w:rPr>
        <w:t>4. Dietrich v. Boeing Co., 14 F.4th 1089:</w:t>
      </w:r>
      <w:r>
        <w:t xml:space="preserve"> As a recent Ninth Circuit decision, it reaffirms the </w:t>
      </w:r>
      <w:r>
        <w:rPr>
          <w:i/>
        </w:rPr>
        <w:t>Martin</w:t>
      </w:r>
      <w:r>
        <w:t xml:space="preserve"> standard as the controlling authority for awarding attorney's fees upon remand in this jurisdiction.</w:t>
      </w:r>
    </w:p>
    <w:p>
      <w:pPr>
        <w:spacing w:before="0" w:after="0"/>
      </w:pPr>
      <w:r>
        <w:rPr>
          <w:b/>
        </w:rPr>
        <w:t>5. Chan Healthcare Group, PS v. Liberty Mutual Fire Insurance Co., 844 F.3d 1133:</w:t>
      </w:r>
      <w:r>
        <w:t xml:space="preserve"> This Ninth Circuit case applies the </w:t>
      </w:r>
      <w:r>
        <w:rPr>
          <w:i/>
        </w:rPr>
        <w:t>Martin</w:t>
      </w:r>
      <w:r>
        <w:t xml:space="preserve"> standard to evaluate whether a specific legal theory for removal was reasonable enough to preclude an award of fees.</w:t>
      </w:r>
    </w:p>
    <w:p>
      <w:r>
        <w:br w:type="page"/>
      </w:r>
    </w:p>
    <w:p>
      <w:pPr>
        <w:spacing w:before="0" w:after="0"/>
      </w:pPr>
      <w:r/>
      <w:hyperlink w:anchor="unavailable">
        <w:r>
          <w:rPr/>
          <w:t xml:space="preserve">↑ Triage</w:t>
        </w:r>
      </w:hyperlink>
    </w:p>
    <w:p>
      <w:pPr>
        <w:pStyle w:val="Heading3"/>
      </w:pPr>
      <w:r>
        <w:bookmarkStart w:id="32" w:name="gausvmilesin28"/>
        <w:bookmarkEnd w:id="32" w:name="gausvmilesin28"/>
      </w:r>
      <w:r>
        <w:t>Gaus v. Miles, Inc. 980 F.2d 564</w:t>
      </w:r>
    </w:p>
    <w:p>
      <w:pPr>
        <w:spacing w:before="240" w:after="240"/>
      </w:pPr>
      <w:r>
        <w:rPr>
          <w:b/>
          <w:i/>
          <w:color w:val="3A0517"/>
        </w:rPr>
        <w:t>Use of Citation</w:t>
      </w:r>
      <w:r>
        <w:t xml:space="preserve"> ⚪</w:t>
      </w:r>
    </w:p>
    <w:p>
      <w:pPr>
        <w:spacing w:before="0" w:after="0"/>
      </w:pPr>
      <w:r>
        <w:t>PLAINTIFF’S NOTICE OF MOTION AND MOTION TO REMAND cites Gaus v. Miles, Inc. to establish the fundamental legal standards governing removal jurisdiction. Specifically, it cites the case for the propositions that there is a "strong presumption" against removal jurisdiction, that the removing party bears the burden of proving removal is proper, and that "Federal jurisdiction must be rejected if there is any doubt as to the right of removal in the first instance" (p. 4). Additionally, the document cites Gaus to support the rule that a court lacks subject-matter jurisdiction if complete diversity is lacking, regardless of the amount in controversy (p. 6). In the context of this matter, Plaintiff uses these rules to argue that the Defendant failed to meet its burden because it did not identify the citizenship of its members, creating the very "doubt" that necessitates remand (p. 4-5). The legal reasoning from Gaus is interpreted as a mandate for strict construction of removal statutes, placing the risk of non-persuasion entirely on the Defendant. The document directly applies these concepts by asserting that because the Defendant's Notice of Removal only alleged citizenship on "information and belief," it failed to overcome the presumption against removal (p. 5).</w:t>
      </w:r>
    </w:p>
    <w:p>
      <w:pPr>
        <w:spacing w:before="240" w:after="240"/>
      </w:pPr>
      <w:r>
        <w:rPr>
          <w:b/>
          <w:i/>
          <w:color w:val="3A0517"/>
        </w:rPr>
        <w:t>Accuracy Review</w:t>
      </w:r>
    </w:p>
    <w:p>
      <w:pPr>
        <w:spacing w:before="0" w:after="0"/>
      </w:pPr>
      <w:r>
        <w:t>Accuracy Review is not available for this rating level. The citation is likely not in error or a hallucination.</w:t>
      </w:r>
    </w:p>
    <w:p>
      <w:pPr>
        <w:spacing w:before="0" w:after="0"/>
      </w:pPr>
      <w:r/>
      <w:hyperlink w:anchor="unavailable">
        <w:r>
          <w:rPr/>
          <w:t xml:space="preserve">↑ Triage</w:t>
        </w:r>
      </w:hyperlink>
    </w:p>
    <w:p>
      <w:pPr>
        <w:pStyle w:val="Heading3"/>
      </w:pPr>
      <w:r>
        <w:bookmarkStart w:id="33" w:name="herrickvttet29"/>
        <w:bookmarkEnd w:id="33" w:name="herrickvttet29"/>
      </w:r>
      <w:r>
        <w:t>Herrick v. TTE Tech., Inc. No. 5:25-cv-00945</w:t>
      </w:r>
    </w:p>
    <w:p>
      <w:pPr>
        <w:spacing w:before="240" w:after="240"/>
      </w:pPr>
      <w:r>
        <w:rPr>
          <w:b/>
          <w:i/>
          <w:color w:val="3A0517"/>
        </w:rPr>
        <w:t>Use of Citation</w:t>
      </w:r>
      <w:r>
        <w:t xml:space="preserve"> ⚪</w:t>
      </w:r>
    </w:p>
    <w:p>
      <w:pPr>
        <w:spacing w:before="0" w:after="0"/>
      </w:pPr>
      <w:r>
        <w:t>Plaintiff cites Herrick v. TTE Tech., Inc. to support the legal rule that a removing party's failure to establish complete diversity jurisdiction necessitates a remand to state court (p. 5). In the context of the motion, Plaintiff argues that Defendant 1032 N. Sycamore Owner (LA), LLC failed to identify its members or their citizenship, instead relying on insufficient "information and belief" allegations regarding Wyoming citizenship (p. 5). The document interprets Herrick as a relevant instance where the Central District of California granted a remand because the removing party did not meet its burden to establish diversity (p. 5). Plaintiff applies Herrick as a supporting example to demonstrate that the current Defendant's failure to allege member citizenship is a fatal jurisdictional defect requiring the same outcome (p. 5).</w:t>
      </w:r>
    </w:p>
    <w:p>
      <w:pPr>
        <w:spacing w:before="240" w:after="240"/>
      </w:pPr>
      <w:r>
        <w:rPr>
          <w:b/>
          <w:i/>
          <w:color w:val="3A0517"/>
        </w:rPr>
        <w:t>Accuracy Review</w:t>
      </w:r>
    </w:p>
    <w:p>
      <w:pPr>
        <w:spacing w:before="0" w:after="0"/>
      </w:pPr>
      <w:r>
        <w:t>Accuracy Review is not available for this rating level. The citation is likely not in error or a hallucination.</w:t>
      </w:r>
    </w:p>
    <w:p>
      <w:pPr>
        <w:spacing w:before="0" w:after="0"/>
      </w:pPr>
      <w:r/>
      <w:hyperlink w:anchor="unavailable">
        <w:r>
          <w:rPr/>
          <w:t xml:space="preserve">↑ Triage</w:t>
        </w:r>
      </w:hyperlink>
    </w:p>
    <w:p>
      <w:pPr>
        <w:pStyle w:val="Heading3"/>
      </w:pPr>
      <w:r>
        <w:bookmarkStart w:id="34" w:name="californiaco30"/>
        <w:bookmarkEnd w:id="34" w:name="californiaco30"/>
      </w:r>
      <w:r>
        <w:t>California Code of Civil Procedure § 526</w:t>
      </w:r>
    </w:p>
    <w:p>
      <w:pPr>
        <w:spacing w:before="240" w:after="240"/>
      </w:pPr>
      <w:r>
        <w:rPr>
          <w:b/>
          <w:i/>
          <w:color w:val="3A0517"/>
        </w:rPr>
        <w:t>Use of Citation</w:t>
      </w:r>
      <w:r>
        <w:t xml:space="preserve"> ⚪</w:t>
      </w:r>
    </w:p>
    <w:p>
      <w:pPr>
        <w:spacing w:before="0" w:after="0"/>
      </w:pPr>
      <w:r>
        <w:t>The PLAINTIFF’S NOTICE OF MOTION AND MOTION TO REMAND cites California Code of Civil Procedure section 526 as the statutory basis for the twelfth cause of action in the Plaintiff's First Amended Complaint (FAC), which is for Injunctive Relief (p. 3). The statute is used to support the proposition that the Plaintiff's claims arise exclusively under California statutory and common law rather than federal law (p. 3). In the context of the motion to remand, the citation serves to demonstrate that no federal-question jurisdiction exists under 28 U.S.C. § 1331 because the well-pleaded complaint consists only of state-law theories (p. 6-7). The Plaintiff relies on the legal principle that they are the master of the claim and have chosen to seek a remedy—specifically an injunction—under the authority of the California Code of Civil Procedure rather than any federal equivalent (p. 6). By identifying section 526, the Plaintiff emphasizes that federal law is not a necessary element of the claim for injunctive relief, thereby precluding federal-question jurisdiction (p. 7). The document interprets section 526 as the governing state authority for the injunctive remedy sought in relation to the commercial lease dispute at issue (p. 3).</w:t>
      </w:r>
    </w:p>
    <w:p>
      <w:pPr>
        <w:spacing w:before="240" w:after="240"/>
      </w:pPr>
      <w:r>
        <w:rPr>
          <w:b/>
          <w:i/>
          <w:color w:val="3A0517"/>
        </w:rPr>
        <w:t>Accuracy Review</w:t>
      </w:r>
    </w:p>
    <w:p>
      <w:pPr>
        <w:spacing w:before="0" w:after="0"/>
      </w:pPr>
      <w:r>
        <w:t>Accuracy Review is not available for this rating level. The citation is likely not in error or a hallucination.</w:t>
      </w:r>
    </w:p>
    <w:p>
      <w:r>
        <w:br w:type="page"/>
      </w:r>
    </w:p>
    <w:p>
      <w:pPr>
        <w:spacing w:before="0" w:after="0"/>
      </w:pPr>
      <w:r/>
      <w:hyperlink w:anchor="unavailable">
        <w:r>
          <w:rPr/>
          <w:t xml:space="preserve">↑ Triage</w:t>
        </w:r>
      </w:hyperlink>
    </w:p>
    <w:p>
      <w:pPr>
        <w:pStyle w:val="Heading3"/>
      </w:pPr>
      <w:r>
        <w:bookmarkStart w:id="35" w:name="californiaco31"/>
        <w:bookmarkEnd w:id="35" w:name="californiaco31"/>
      </w:r>
      <w:r>
        <w:t>California Code of Civil Procedure § 1161</w:t>
      </w:r>
    </w:p>
    <w:p>
      <w:pPr>
        <w:spacing w:before="240" w:after="240"/>
      </w:pPr>
      <w:r>
        <w:rPr>
          <w:b/>
          <w:i/>
          <w:color w:val="3A0517"/>
        </w:rPr>
        <w:t>Use of Citation</w:t>
      </w:r>
      <w:r>
        <w:t xml:space="preserve"> ⚪</w:t>
      </w:r>
    </w:p>
    <w:p>
      <w:pPr>
        <w:spacing w:before="0" w:after="0"/>
      </w:pPr>
      <w:r>
        <w:t>The Plaintiff cites California Code of Civil Procedure section 1161 to identify the statutory framework governing the parallel unlawful detainer action being prosecuted by the Defendant in state court (p. 7). The citation supports the proposition that unlawful detainer actions are 'California statutory claims' used to determine the 'right to possession' of real property (p. 7). In the context of the motion, the Plaintiff uses this citation to argue that the Defendant's 'selective removal'—removing the civil action to federal court while leaving the CCP § 1161 proceeding in state court—demonstrates that removal was not 'compelled by federal jurisdiction' (p. 7). The Plaintiff employs analogical reasoning to suggest that because the issues in the CCP § 1161 action are 'central to' and 'extend beyond the limited scope' of the state-law claims in the First Amended Complaint, the entire dispute should be adjudicated in a single state forum (p. 7). This argument is tied to the mandatory remand requirement of 28 U.S.C. § 1447(c) (p. 7). The document interprets the statutory rules of CCP § 1161 as being 'governed entirely by California law' and focused on the 'right to possession' arising from an alleged default under a lease (p. 7).</w:t>
      </w:r>
    </w:p>
    <w:p>
      <w:pPr>
        <w:spacing w:before="240" w:after="240"/>
      </w:pPr>
      <w:r>
        <w:rPr>
          <w:b/>
          <w:i/>
          <w:color w:val="3A0517"/>
        </w:rPr>
        <w:t>Accuracy Review</w:t>
      </w:r>
    </w:p>
    <w:p>
      <w:pPr>
        <w:spacing w:before="0" w:after="0"/>
      </w:pPr>
      <w:r>
        <w:t>Accuracy Review is not available for this rating level. The citation is likely not in error or a hallucination.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Times New Roman" w:eastAsiaTheme="majorEastAsia" w:hAnsiTheme="majorHAnsi" w:cstheme="majorBidi" w:ascii="Times New Roman" w:hAnsi="Times New Roman"/>
      <w:b/>
      <w:bCs/>
      <w:color w:val="3A0517"/>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Times New Roman" w:eastAsiaTheme="majorEastAsia" w:hAnsiTheme="majorHAnsi" w:cstheme="majorBidi" w:ascii="Times New Roman" w:hAnsi="Times New Roman"/>
      <w:b/>
      <w:bCs/>
      <w:color w:val="3A0517"/>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Times New Roman" w:eastAsiaTheme="majorEastAsia" w:hAnsiTheme="majorHAnsi" w:cstheme="majorBidi" w:ascii="Times New Roman" w:hAnsi="Times New Roman"/>
      <w:b/>
      <w:bCs/>
      <w:color w:val="3A0517"/>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Times New Roman" w:eastAsiaTheme="majorEastAsia" w:hAnsiTheme="majorHAnsi" w:cstheme="majorBidi" w:ascii="Times New Roman" w:hAnsi="Times New Roman"/>
      <w:b/>
      <w:bCs/>
      <w:i/>
      <w:iCs/>
      <w:color w:val="3A0517"/>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Times New Roman" w:eastAsiaTheme="majorEastAsia" w:hAnsiTheme="majorHAnsi" w:cstheme="majorBidi" w:ascii="Times New Roman" w:hAnsi="Times New Roman"/>
      <w:color w:val="3A0517"/>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Times New Roman" w:eastAsiaTheme="majorEastAsia" w:hAnsiTheme="majorHAnsi" w:cstheme="majorBidi" w:ascii="Times New Roman" w:hAnsi="Times New Roman"/>
      <w:i/>
      <w:iCs/>
      <w:color w:val="3A0517"/>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pPr>
      <w:ind w:left="720" w:right="720"/>
      <w:jc w:val="both"/>
    </w:pPr>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OpineTitle">
    <w:name w:val="Opine Title"/>
    <w:pPr>
      <w:spacing w:before="0"/>
    </w:pPr>
    <w:rPr>
      <w:rFonts w:ascii="Times New Roman" w:hAnsi="Times New Roman"/>
      <w:color w:val="3A0517"/>
      <w:sz w:val="32"/>
    </w:rPr>
  </w:style>
  <w:style w:type="paragraph" w:customStyle="1" w:styleId="OpineSubtitle">
    <w:name w:val="Opine Subtitle"/>
    <w:pPr>
      <w:spacing w:after="0" w:before="160"/>
    </w:pPr>
    <w:rPr>
      <w:rFonts w:ascii="Times New Roman" w:hAnsi="Times New Roman"/>
      <w:i/>
      <w:color w:val="3A0517"/>
      <w:sz w:val="32"/>
    </w:rPr>
  </w:style>
  <w:style w:type="paragraph" w:customStyle="1" w:styleId="TriageReport">
    <w:name w:val="Triage Report"/>
    <w:pPr>
      <w:spacing w:after="0" w:before="0"/>
      <w:jc w:val="center"/>
    </w:pPr>
    <w:rPr>
      <w:rFonts w:ascii="Times New Roman" w:hAnsi="Times New Roman"/>
      <w:color w:val="3A0517"/>
      <w:sz w:val="32"/>
    </w:rPr>
  </w:style>
  <w:style w:type="paragraph" w:customStyle="1" w:styleId="SmallCapsHeading">
    <w:name w:val="SmallCaps Heading"/>
    <w:rPr>
      <w:rFonts w:ascii="Times New Roman" w:hAnsi="Times New Roman"/>
      <w:b/>
      <w:smallCaps/>
      <w:color w:val="3A0517"/>
      <w:sz w:val="32"/>
    </w:rPr>
  </w:style>
  <w:style w:type="character" w:customStyle="1" w:styleId="Hyperlink">
    <w:name w:val="Hyperlink"/>
    <w:rPr>
      <w:color w:val="444444"/>
      <w:u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app.opine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