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C100087 - Hall v. Superior Court of Sacramento County</w:t>
            </w:r>
          </w:p>
        </w:tc>
      </w:tr>
    </w:tbl>
    <w:p>
      <w:pPr>
        <w:pStyle w:val="OpineSubtitle"/>
      </w:pPr>
      <w:r>
        <w:t>Citation Report</w:t>
      </w:r>
    </w:p>
    <w:p>
      <w:pPr>
        <w:pStyle w:val="OpineTitle"/>
      </w:pPr>
      <w:r>
        <w:t>Appellant Anthony Jama Hall's Opening Brief on the Merits</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56 Citations</w:t>
            </w:r>
          </w:p>
        </w:tc>
        <w:tc>
          <w:tcPr>
            <w:tcW w:type="dxa" w:w="1800"/>
          </w:tcPr>
          <w:p>
            <w:pPr>
              <w:spacing w:before="0" w:after="0" w:line="360" w:lineRule="auto"/>
              <w:jc w:val="center"/>
            </w:pPr>
            <w:r>
              <w:t>12</w:t>
            </w:r>
          </w:p>
        </w:tc>
        <w:tc>
          <w:tcPr>
            <w:tcW w:type="dxa" w:w="1800"/>
          </w:tcPr>
          <w:p>
            <w:pPr>
              <w:spacing w:before="0" w:after="0" w:line="360" w:lineRule="auto"/>
              <w:jc w:val="center"/>
            </w:pPr>
            <w:r>
              <w:t>10</w:t>
            </w:r>
          </w:p>
        </w:tc>
        <w:tc>
          <w:tcPr>
            <w:tcW w:type="dxa" w:w="1800"/>
          </w:tcPr>
          <w:p>
            <w:pPr>
              <w:spacing w:before="0" w:after="0" w:line="360" w:lineRule="auto"/>
              <w:jc w:val="center"/>
            </w:pPr>
            <w:r>
              <w:t>8</w:t>
            </w:r>
          </w:p>
        </w:tc>
        <w:tc>
          <w:tcPr>
            <w:tcW w:type="dxa" w:w="1800"/>
          </w:tcPr>
          <w:p>
            <w:pPr>
              <w:spacing w:before="0" w:after="0" w:line="360" w:lineRule="auto"/>
              <w:jc w:val="center"/>
            </w:pPr>
            <w:r>
              <w:t>13</w:t>
            </w:r>
          </w:p>
        </w:tc>
        <w:tc>
          <w:tcPr>
            <w:tcW w:type="dxa" w:w="1800"/>
          </w:tcPr>
          <w:p>
            <w:pPr>
              <w:spacing w:before="0" w:after="0" w:line="360" w:lineRule="auto"/>
              <w:jc w:val="center"/>
            </w:pPr>
            <w:r>
              <w:t>13</w:t>
            </w:r>
          </w:p>
        </w:tc>
      </w:tr>
      <w:tr>
        <w:tc>
          <w:tcPr>
            <w:tcW w:type="dxa" w:w="1800"/>
          </w:tcPr>
          <w:p>
            <w:pPr>
              <w:spacing w:before="0" w:after="0" w:line="360" w:lineRule="auto"/>
              <w:jc w:val="right"/>
            </w:pPr>
            <w:r>
              <w:t>33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23 Statutes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13 Quotes</w:t>
            </w:r>
          </w:p>
        </w:tc>
        <w:tc>
          <w:tcPr>
            <w:tcW w:type="dxa" w:w="1800"/>
          </w:tcPr>
          <w:p>
            <w:pPr>
              <w:spacing w:before="0" w:after="0" w:line="360" w:lineRule="auto"/>
              <w:jc w:val="center"/>
            </w:pPr>
            <w:r>
              <w:t>8</w:t>
            </w:r>
          </w:p>
        </w:tc>
        <w:tc>
          <w:tcPr>
            <w:tcW w:type="dxa" w:w="1800"/>
          </w:tcPr>
          <w:p>
            <w:pPr>
              <w:spacing w:before="0" w:after="0" w:line="360" w:lineRule="auto"/>
              <w:jc w:val="center"/>
            </w:pPr>
            <w:r>
              <w:t>2</w:t>
            </w:r>
          </w:p>
        </w:tc>
        <w:tc>
          <w:tcPr>
            <w:tcW w:type="dxa" w:w="1800"/>
          </w:tcPr>
          <w:p>
            <w:pPr>
              <w:spacing w:before="0" w:after="0" w:line="360" w:lineRule="auto"/>
              <w:jc w:val="center"/>
            </w:pPr>
            <w:r>
              <w:t>1</w:t>
            </w:r>
          </w:p>
        </w:tc>
        <w:tc>
          <w:tcPr>
            <w:tcW w:type="dxa" w:w="1800"/>
          </w:tcPr>
          <w:p>
            <w:pPr>
              <w:spacing w:before="0" w:after="0" w:line="360" w:lineRule="auto"/>
              <w:jc w:val="center"/>
            </w:pPr>
            <w:r>
              <w:t>2</w:t>
            </w:r>
          </w:p>
        </w:tc>
        <w:tc>
          <w:tcPr>
            <w:tcW w:type="dxa" w:w="1800"/>
          </w:tcPr>
          <w:p>
            <w:pPr>
              <w:spacing w:before="0" w:after="0" w:line="360" w:lineRule="auto"/>
              <w:jc w:val="center"/>
            </w:pPr>
            <w:r>
              <w:t>0</w:t>
            </w:r>
          </w:p>
        </w:tc>
      </w:tr>
      <w:tr>
        <w:tc>
          <w:tcPr>
            <w:tcW w:type="dxa" w:w="1800"/>
          </w:tcPr>
          <w:p>
            <w:pPr>
              <w:spacing w:before="0" w:after="0" w:line="360" w:lineRule="auto"/>
              <w:jc w:val="right"/>
            </w:pPr>
            <w:r>
              <w:t>10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3 Statutes</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Cases</w:t>
      </w:r>
    </w:p>
    <w:p>
      <w:pPr>
        <w:spacing w:before="0" w:after="0"/>
      </w:pPr>
      <w:r>
        <w:t xml:space="preserve">☠️ </w:t>
      </w:r>
      <w:hyperlink w:anchor="santaclaraco10">
        <w:r>
          <w:rPr/>
          <w:t xml:space="preserve">Santa Clara County Counsel Atty’s Assn v. Woodside 8 Cal.4th 525</w:t>
        </w:r>
      </w:hyperlink>
    </w:p>
    <w:p>
      <w:pPr>
        <w:spacing w:before="0" w:after="0"/>
      </w:pPr>
      <w:r>
        <w:t xml:space="preserve">☠️ </w:t>
      </w:r>
      <w:hyperlink w:anchor="countyofsacr11">
        <w:r>
          <w:rPr/>
          <w:t xml:space="preserve">County of Sacramento v. Superior Court 232 Cal.App.4th 305</w:t>
        </w:r>
      </w:hyperlink>
    </w:p>
    <w:p>
      <w:pPr>
        <w:spacing w:before="0" w:after="0"/>
      </w:pPr>
      <w:r>
        <w:t xml:space="preserve">☠️ </w:t>
      </w:r>
      <w:hyperlink w:anchor="mcdonoughvsu12">
        <w:r>
          <w:rPr/>
          <w:t xml:space="preserve">McDonough v. Superior Court 124 Cal.App. 66</w:t>
        </w:r>
      </w:hyperlink>
    </w:p>
    <w:p>
      <w:pPr>
        <w:spacing w:before="0" w:after="0"/>
      </w:pPr>
      <w:r>
        <w:t xml:space="preserve">☠️ </w:t>
      </w:r>
      <w:hyperlink w:anchor="estateofsand13">
        <w:r>
          <w:rPr/>
          <w:t xml:space="preserve">Estate of Sanders 167 Cal.App.2d 157</w:t>
        </w:r>
      </w:hyperlink>
    </w:p>
    <w:p>
      <w:pPr>
        <w:spacing w:before="0" w:after="0"/>
      </w:pPr>
      <w:r>
        <w:t xml:space="preserve">☠️ </w:t>
      </w:r>
      <w:hyperlink w:anchor="mantonyavcou14">
        <w:r>
          <w:rPr/>
          <w:t xml:space="preserve">Mantonya v. County of Los Angeles 33 Cal.App.5th 666</w:t>
        </w:r>
      </w:hyperlink>
    </w:p>
    <w:p>
      <w:pPr>
        <w:spacing w:before="0" w:after="0"/>
      </w:pPr>
      <w:r>
        <w:t xml:space="preserve">☠️ </w:t>
      </w:r>
      <w:hyperlink w:anchor="tuolumneairs15">
        <w:r>
          <w:rPr/>
          <w:t xml:space="preserve">Tuolumne Air Service, Inc. v. Turlock Irrigation Dist. 84 Cal.App.3d 576</w:t>
        </w:r>
      </w:hyperlink>
    </w:p>
    <w:p>
      <w:pPr>
        <w:spacing w:before="0" w:after="0"/>
      </w:pPr>
      <w:r>
        <w:t xml:space="preserve">☠️ </w:t>
      </w:r>
      <w:hyperlink w:anchor="bairdvsuperi16">
        <w:r>
          <w:rPr/>
          <w:t xml:space="preserve">Baird v. Superior Court 219 Cal.App.3d 244</w:t>
        </w:r>
      </w:hyperlink>
    </w:p>
    <w:p>
      <w:pPr>
        <w:spacing w:before="0" w:after="0"/>
      </w:pPr>
      <w:r>
        <w:t xml:space="preserve">☠️ </w:t>
      </w:r>
      <w:hyperlink w:anchor="mcdowellvsup17">
        <w:r>
          <w:rPr/>
          <w:t xml:space="preserve">McDowell v. Superior Court 137 Cal.App.3d 264</w:t>
        </w:r>
      </w:hyperlink>
    </w:p>
    <w:p>
      <w:pPr>
        <w:spacing w:before="0" w:after="0"/>
      </w:pPr>
      <w:r>
        <w:t xml:space="preserve">☠️ </w:t>
      </w:r>
      <w:hyperlink w:anchor="lightfootvsu18">
        <w:r>
          <w:rPr/>
          <w:t xml:space="preserve">Lightfoot v. Superior Court 235 Cal.App.3d 505</w:t>
        </w:r>
      </w:hyperlink>
    </w:p>
    <w:p>
      <w:pPr>
        <w:pStyle w:val="Heading4"/>
      </w:pPr>
      <w:r>
        <w:t>Statutes</w:t>
      </w:r>
    </w:p>
    <w:p>
      <w:pPr>
        <w:spacing w:before="0" w:after="0"/>
      </w:pPr>
      <w:r>
        <w:t xml:space="preserve">☠️ </w:t>
      </w:r>
      <w:hyperlink w:anchor="commercialcode1308">
        <w:r>
          <w:rPr/>
          <w:t xml:space="preserve">Commercial Code § 1308</w:t>
        </w:r>
      </w:hyperlink>
    </w:p>
    <w:p>
      <w:pPr>
        <w:spacing w:before="0" w:after="0"/>
      </w:pPr>
      <w:r>
        <w:t xml:space="preserve">☠️ </w:t>
      </w:r>
      <w:hyperlink w:anchor="governmentcode9115">
        <w:r>
          <w:rPr/>
          <w:t xml:space="preserve">Government Code § 911.5</w:t>
        </w:r>
      </w:hyperlink>
    </w:p>
    <w:p>
      <w:pPr>
        <w:spacing w:before="0" w:after="0"/>
      </w:pPr>
      <w:r>
        <w:t xml:space="preserve">☠️ </w:t>
      </w:r>
      <w:hyperlink w:anchor="codeofcivilp21">
        <w:r>
          <w:rPr/>
          <w:t xml:space="preserve">Code of Civil Procedure § 2030</w:t>
        </w:r>
      </w:hyperlink>
    </w:p>
    <w:p>
      <w:pPr>
        <w:spacing w:before="0" w:after="0"/>
      </w:pPr>
      <w:r>
        <w:t xml:space="preserve">☠️ </w:t>
      </w:r>
      <w:hyperlink w:anchor="codeofcivilp22">
        <w:r>
          <w:rPr/>
          <w:t xml:space="preserve">Code of Civil Procedure § 2040</w:t>
        </w:r>
      </w:hyperlink>
    </w:p>
    <w:p>
      <w:pPr>
        <w:pStyle w:val="Heading2"/>
      </w:pPr>
      <w:r>
        <w:bookmarkStart w:id="5" w:name="significantissues"/>
        <w:bookmarkEnd w:id="5" w:name="significantissues"/>
      </w:r>
      <w:r>
        <w:t>Significant Issues</w:t>
      </w:r>
    </w:p>
    <w:p>
      <w:pPr>
        <w:pStyle w:val="Heading4"/>
      </w:pPr>
      <w:r>
        <w:t>Cases</w:t>
      </w:r>
    </w:p>
    <w:p>
      <w:pPr>
        <w:spacing w:before="0" w:after="0"/>
      </w:pPr>
      <w:r>
        <w:t xml:space="preserve">🔴 </w:t>
      </w:r>
      <w:hyperlink w:anchor="peoplevsuper23">
        <w:r>
          <w:rPr/>
          <w:t xml:space="preserve">People v. Superior Court 6 Cal.3d 704</w:t>
        </w:r>
      </w:hyperlink>
    </w:p>
    <w:p>
      <w:pPr>
        <w:spacing w:before="0" w:after="0"/>
      </w:pPr>
      <w:r>
        <w:t xml:space="preserve">🔴 </w:t>
      </w:r>
      <w:hyperlink w:anchor="inrecortez6cal3d78">
        <w:r>
          <w:rPr/>
          <w:t xml:space="preserve">In re Cortez 6 Cal.3d 78</w:t>
        </w:r>
      </w:hyperlink>
    </w:p>
    <w:p>
      <w:pPr>
        <w:spacing w:before="0" w:after="0"/>
      </w:pPr>
      <w:r>
        <w:t xml:space="preserve">        </w:t>
      </w:r>
      <w:hyperlink w:anchor="inrecortez6c25">
        <w:r>
          <w:rPr/>
          <w:t xml:space="preserve">☠️ 2 Quotes</w:t>
        </w:r>
      </w:hyperlink>
    </w:p>
    <w:p>
      <w:pPr>
        <w:pStyle w:val="Heading4"/>
      </w:pPr>
      <w:r>
        <w:t>Statutes</w:t>
      </w:r>
    </w:p>
    <w:p>
      <w:pPr>
        <w:spacing w:before="0" w:after="0"/>
      </w:pPr>
      <w:r>
        <w:t xml:space="preserve">🔴 </w:t>
      </w:r>
      <w:hyperlink w:anchor="codeofcivilp26">
        <w:r>
          <w:rPr/>
          <w:t xml:space="preserve">Code of Civil Procedure § 1085</w:t>
        </w:r>
      </w:hyperlink>
    </w:p>
    <w:p>
      <w:pPr>
        <w:spacing w:before="0" w:after="0"/>
      </w:pPr>
      <w:r>
        <w:t xml:space="preserve">🔴 </w:t>
      </w:r>
      <w:hyperlink w:anchor="codeofcivilp27">
        <w:r>
          <w:rPr/>
          <w:t xml:space="preserve">Code of Civil Procedure § 170.6</w:t>
        </w:r>
      </w:hyperlink>
    </w:p>
    <w:p>
      <w:pPr>
        <w:spacing w:before="0" w:after="0"/>
      </w:pPr>
      <w:r>
        <w:t xml:space="preserve">🔴 </w:t>
      </w:r>
      <w:hyperlink w:anchor="42usc1983">
        <w:r>
          <w:rPr/>
          <w:t xml:space="preserve">42 U.S.C. § 1983</w:t>
        </w:r>
      </w:hyperlink>
    </w:p>
    <w:p>
      <w:pPr>
        <w:spacing w:before="0" w:after="0"/>
      </w:pPr>
      <w:r>
        <w:t xml:space="preserve">🔴 </w:t>
      </w:r>
      <w:hyperlink w:anchor="codeofcivilp29">
        <w:r>
          <w:rPr/>
          <w:t xml:space="preserve">Code of Civil Procedure § 1005</w:t>
        </w:r>
      </w:hyperlink>
    </w:p>
    <w:p>
      <w:pPr>
        <w:spacing w:before="0" w:after="0"/>
      </w:pPr>
      <w:r>
        <w:t xml:space="preserve">🔴 </w:t>
      </w:r>
      <w:hyperlink w:anchor="governmentcode9124">
        <w:r>
          <w:rPr/>
          <w:t xml:space="preserve">Government Code § 912.4</w:t>
        </w:r>
      </w:hyperlink>
    </w:p>
    <w:p>
      <w:pPr>
        <w:spacing w:before="0" w:after="0"/>
      </w:pPr>
      <w:r>
        <w:t xml:space="preserve">🔴 </w:t>
      </w:r>
      <w:hyperlink w:anchor="governmentcode9112">
        <w:r>
          <w:rPr/>
          <w:t xml:space="preserve">Government Code § 911.2</w:t>
        </w:r>
      </w:hyperlink>
    </w:p>
    <w:p>
      <w:pPr>
        <w:pStyle w:val="Heading2"/>
      </w:pPr>
      <w:r>
        <w:bookmarkStart w:id="8" w:name="minorissues"/>
        <w:bookmarkEnd w:id="8" w:name="minorissues"/>
      </w:r>
      <w:r>
        <w:t>Minor Issues</w:t>
      </w:r>
    </w:p>
    <w:p>
      <w:pPr>
        <w:pStyle w:val="Heading4"/>
      </w:pPr>
      <w:r>
        <w:t>Cases</w:t>
      </w:r>
    </w:p>
    <w:p>
      <w:pPr>
        <w:spacing w:before="0" w:after="0"/>
      </w:pPr>
      <w:r>
        <w:t xml:space="preserve">🟡 </w:t>
      </w:r>
      <w:hyperlink w:anchor="walkervsuper32">
        <w:r>
          <w:rPr/>
          <w:t xml:space="preserve">Walker v. Superior Court 53 Cal.3d 257</w:t>
        </w:r>
      </w:hyperlink>
    </w:p>
    <w:p>
      <w:pPr>
        <w:spacing w:before="0" w:after="0"/>
      </w:pPr>
      <w:r>
        <w:t xml:space="preserve">🟡 </w:t>
      </w:r>
      <w:hyperlink w:anchor="fuentesvshev33">
        <w:r>
          <w:rPr/>
          <w:t xml:space="preserve">Fuentes v. Shevin 407 U.S. 67</w:t>
        </w:r>
      </w:hyperlink>
    </w:p>
    <w:p>
      <w:pPr>
        <w:spacing w:before="0" w:after="0"/>
      </w:pPr>
      <w:r>
        <w:t xml:space="preserve">        </w:t>
      </w:r>
      <w:hyperlink w:anchor="fuentesvshev34">
        <w:r>
          <w:rPr/>
          <w:t xml:space="preserve">🔴 2 Quotes</w:t>
        </w:r>
      </w:hyperlink>
    </w:p>
    <w:p>
      <w:pPr>
        <w:spacing w:before="0" w:after="0"/>
      </w:pPr>
      <w:r>
        <w:t xml:space="preserve">🟡 </w:t>
      </w:r>
      <w:hyperlink w:anchor="morrisvharpe35">
        <w:r>
          <w:rPr/>
          <w:t xml:space="preserve">Morris v. Harper 94 Cal.App.4th 52</w:t>
        </w:r>
      </w:hyperlink>
    </w:p>
    <w:p>
      <w:pPr>
        <w:spacing w:before="0" w:after="0"/>
      </w:pPr>
      <w:r>
        <w:t xml:space="preserve">        </w:t>
      </w:r>
      <w:hyperlink w:anchor="morrisvharpe36">
        <w:r>
          <w:rPr/>
          <w:t xml:space="preserve">🟢 1 Quote</w:t>
        </w:r>
      </w:hyperlink>
    </w:p>
    <w:p>
      <w:pPr>
        <w:spacing w:before="0" w:after="0"/>
      </w:pPr>
      <w:r>
        <w:t xml:space="preserve">🟡 </w:t>
      </w:r>
      <w:hyperlink w:anchor="schwartzvpoi37">
        <w:r>
          <w:rPr/>
          <w:t xml:space="preserve">Schwartz v. Poizner 187 Cal.App.4th 592</w:t>
        </w:r>
      </w:hyperlink>
    </w:p>
    <w:p>
      <w:pPr>
        <w:spacing w:before="0" w:after="0"/>
      </w:pPr>
      <w:r>
        <w:t xml:space="preserve">        </w:t>
      </w:r>
      <w:hyperlink w:anchor="schwartzvpoi38">
        <w:r>
          <w:rPr/>
          <w:t xml:space="preserve">🟢 1 Quote</w:t>
        </w:r>
      </w:hyperlink>
    </w:p>
    <w:p>
      <w:pPr>
        <w:pStyle w:val="Heading4"/>
      </w:pPr>
      <w:r>
        <w:t>Statutes</w:t>
      </w:r>
    </w:p>
    <w:p>
      <w:pPr>
        <w:spacing w:before="0" w:after="0"/>
      </w:pPr>
      <w:r>
        <w:t xml:space="preserve">🟡 </w:t>
      </w:r>
      <w:hyperlink w:anchor="codeofcivilp39">
        <w:r>
          <w:rPr/>
          <w:t xml:space="preserve">Code of Civil Procedure § 170.4</w:t>
        </w:r>
      </w:hyperlink>
    </w:p>
    <w:p>
      <w:pPr>
        <w:spacing w:before="0" w:after="0"/>
      </w:pPr>
      <w:r>
        <w:t xml:space="preserve">🟡 </w:t>
      </w:r>
      <w:hyperlink w:anchor="codeofcivilp40">
        <w:r>
          <w:rPr/>
          <w:t xml:space="preserve">Code of Civil Procedure § 1084</w:t>
        </w:r>
      </w:hyperlink>
    </w:p>
    <w:p>
      <w:pPr>
        <w:spacing w:before="0" w:after="0"/>
      </w:pPr>
      <w:r>
        <w:t xml:space="preserve">🟡 </w:t>
      </w:r>
      <w:hyperlink w:anchor="governmentcode9466">
        <w:r>
          <w:rPr/>
          <w:t xml:space="preserve">Government Code § 946.6</w:t>
        </w:r>
      </w:hyperlink>
    </w:p>
    <w:p>
      <w:pPr>
        <w:spacing w:before="0" w:after="0"/>
      </w:pPr>
      <w:r>
        <w:t xml:space="preserve">🟡 </w:t>
      </w:r>
      <w:hyperlink w:anchor="governmentcode9454">
        <w:r>
          <w:rPr/>
          <w:t xml:space="preserve">Government Code § 945.4</w:t>
        </w:r>
      </w:hyperlink>
    </w:p>
    <w:p>
      <w:pPr>
        <w:spacing w:before="0" w:after="0"/>
      </w:pPr>
      <w:r>
        <w:t xml:space="preserve">🟡 </w:t>
      </w:r>
      <w:hyperlink w:anchor="evidencecode453">
        <w:r>
          <w:rPr/>
          <w:t xml:space="preserve">Evidence Code § 453</w:t>
        </w:r>
      </w:hyperlink>
    </w:p>
    <w:p>
      <w:pPr>
        <w:spacing w:before="0" w:after="0"/>
      </w:pPr>
      <w:r>
        <w:t xml:space="preserve">🟡 </w:t>
      </w:r>
      <w:hyperlink w:anchor="evidencecode451">
        <w:r>
          <w:rPr/>
          <w:t xml:space="preserve">Evidence Code § 451</w:t>
        </w:r>
      </w:hyperlink>
    </w:p>
    <w:p>
      <w:pPr>
        <w:pStyle w:val="Heading2"/>
      </w:pPr>
      <w:r>
        <w:bookmarkStart w:id="11" w:name="accurate"/>
        <w:bookmarkEnd w:id="11" w:name="accurate"/>
      </w:r>
      <w:r>
        <w:t>Accurate</w:t>
      </w:r>
    </w:p>
    <w:p>
      <w:pPr>
        <w:pStyle w:val="Heading4"/>
      </w:pPr>
      <w:r>
        <w:t>Cases</w:t>
      </w:r>
    </w:p>
    <w:p>
      <w:pPr>
        <w:spacing w:before="0" w:after="0"/>
      </w:pPr>
      <w:r>
        <w:t xml:space="preserve">🟢 </w:t>
      </w:r>
      <w:hyperlink w:anchor="townselvsupe45">
        <w:r>
          <w:rPr/>
          <w:t xml:space="preserve">Townsel v. Superior Court 20 Cal.4th 1084</w:t>
        </w:r>
      </w:hyperlink>
    </w:p>
    <w:p>
      <w:pPr>
        <w:spacing w:before="0" w:after="0"/>
      </w:pPr>
      <w:r>
        <w:t xml:space="preserve">🟢 </w:t>
      </w:r>
      <w:hyperlink w:anchor="pitchessvsup46">
        <w:r>
          <w:rPr/>
          <w:t xml:space="preserve">Pitchess v. Superior Court 11 Cal.3d 531</w:t>
        </w:r>
      </w:hyperlink>
    </w:p>
    <w:p>
      <w:pPr>
        <w:spacing w:before="0" w:after="0"/>
      </w:pPr>
      <w:r>
        <w:t xml:space="preserve">🟢 </w:t>
      </w:r>
      <w:hyperlink w:anchor="californiaas47">
        <w:r>
          <w:rPr/>
          <w:t xml:space="preserve">California Assn for Health Services at Home v. Department of Health Services 148 Cal.App.4th 696</w:t>
        </w:r>
      </w:hyperlink>
    </w:p>
    <w:p>
      <w:pPr>
        <w:spacing w:before="0" w:after="0"/>
      </w:pPr>
      <w:r>
        <w:t xml:space="preserve">🟢 </w:t>
      </w:r>
      <w:hyperlink w:anchor="gilberdvactr48">
        <w:r>
          <w:rPr/>
          <w:t xml:space="preserve">Gilberd v. AC Transit 32 Cal.App.4th 1494</w:t>
        </w:r>
      </w:hyperlink>
    </w:p>
    <w:p>
      <w:pPr>
        <w:spacing w:before="0" w:after="0"/>
      </w:pPr>
      <w:r>
        <w:t xml:space="preserve">        </w:t>
      </w:r>
      <w:hyperlink w:anchor="gilberdvactr49">
        <w:r>
          <w:rPr/>
          <w:t xml:space="preserve">🟡 1 Quote</w:t>
        </w:r>
      </w:hyperlink>
    </w:p>
    <w:p>
      <w:pPr>
        <w:spacing w:before="0" w:after="0"/>
      </w:pPr>
      <w:r>
        <w:t xml:space="preserve">🟢 </w:t>
      </w:r>
      <w:hyperlink w:anchor="thenewyorkti50">
        <w:r>
          <w:rPr/>
          <w:t xml:space="preserve">The New York Times Co. v. Superior Court 135 Cal.App.4th 206</w:t>
        </w:r>
      </w:hyperlink>
    </w:p>
    <w:p>
      <w:pPr>
        <w:spacing w:before="0" w:after="0"/>
      </w:pPr>
      <w:r>
        <w:t xml:space="preserve">        </w:t>
      </w:r>
      <w:hyperlink w:anchor="thenewyorkti51">
        <w:r>
          <w:rPr/>
          <w:t xml:space="preserve">🟢 3 Quotes</w:t>
        </w:r>
      </w:hyperlink>
    </w:p>
    <w:p>
      <w:pPr>
        <w:pStyle w:val="Heading4"/>
      </w:pPr>
      <w:r>
        <w:t>Statutes</w:t>
      </w:r>
    </w:p>
    <w:p>
      <w:pPr>
        <w:spacing w:before="0" w:after="0"/>
      </w:pPr>
      <w:r>
        <w:t xml:space="preserve">🟢 </w:t>
      </w:r>
      <w:hyperlink w:anchor="codeofcivilp52">
        <w:r>
          <w:rPr/>
          <w:t xml:space="preserve">Code of Civil Procedure § 170.3</w:t>
        </w:r>
      </w:hyperlink>
    </w:p>
    <w:p>
      <w:pPr>
        <w:spacing w:before="0" w:after="0"/>
      </w:pPr>
      <w:r>
        <w:t xml:space="preserve">🟢 </w:t>
      </w:r>
      <w:hyperlink w:anchor="penalcode15385">
        <w:r>
          <w:rPr/>
          <w:t xml:space="preserve">Penal Code § 1538.5</w:t>
        </w:r>
      </w:hyperlink>
    </w:p>
    <w:p>
      <w:pPr>
        <w:spacing w:before="0" w:after="0"/>
      </w:pPr>
      <w:r>
        <w:t xml:space="preserve">🟢 </w:t>
      </w:r>
      <w:hyperlink w:anchor="penalcode148">
        <w:r>
          <w:rPr/>
          <w:t xml:space="preserve">Penal Code § 148</w:t>
        </w:r>
      </w:hyperlink>
    </w:p>
    <w:p>
      <w:pPr>
        <w:spacing w:before="0" w:after="0"/>
      </w:pPr>
      <w:r>
        <w:t xml:space="preserve">🟢 </w:t>
      </w:r>
      <w:hyperlink w:anchor="evidencecode452">
        <w:r>
          <w:rPr/>
          <w:t xml:space="preserve">Evidence Code § 452</w:t>
        </w:r>
      </w:hyperlink>
    </w:p>
    <w:p>
      <w:pPr>
        <w:spacing w:before="0" w:after="0"/>
      </w:pPr>
      <w:r>
        <w:t xml:space="preserve">🟢 </w:t>
      </w:r>
      <w:hyperlink w:anchor="codeofcivilp56">
        <w:r>
          <w:rPr/>
          <w:t xml:space="preserve">Code of Civil Procedure § 1008</w:t>
        </w:r>
      </w:hyperlink>
    </w:p>
    <w:p>
      <w:pPr>
        <w:spacing w:before="0" w:after="0"/>
      </w:pPr>
      <w:r>
        <w:t xml:space="preserve">        </w:t>
      </w:r>
      <w:hyperlink w:anchor="codeofcivilp57">
        <w:r>
          <w:rPr/>
          <w:t xml:space="preserve">🟢 2 Quotes</w:t>
        </w:r>
      </w:hyperlink>
    </w:p>
    <w:p>
      <w:pPr>
        <w:spacing w:before="0" w:after="0"/>
      </w:pPr>
      <w:r>
        <w:t xml:space="preserve">🟢 </w:t>
      </w:r>
      <w:hyperlink w:anchor="codeofcivilp58">
        <w:r>
          <w:rPr/>
          <w:t xml:space="preserve">Code of Civil Procedure § 1019.5</w:t>
        </w:r>
      </w:hyperlink>
    </w:p>
    <w:p>
      <w:pPr>
        <w:spacing w:before="0" w:after="0"/>
      </w:pPr>
      <w:r>
        <w:t xml:space="preserve">🟢 </w:t>
      </w:r>
      <w:hyperlink w:anchor="codeofcivilp59">
        <w:r>
          <w:rPr/>
          <w:t xml:space="preserve">Code of Civil Procedure § 12a</w:t>
        </w:r>
      </w:hyperlink>
    </w:p>
    <w:p>
      <w:pPr>
        <w:spacing w:before="0" w:after="0"/>
      </w:pPr>
      <w:r>
        <w:t xml:space="preserve">        </w:t>
      </w:r>
      <w:hyperlink w:anchor="codeofcivilp60">
        <w:r>
          <w:rPr/>
          <w:t xml:space="preserve">🟢 1 Quote</w:t>
        </w:r>
      </w:hyperlink>
    </w:p>
    <w:p>
      <w:pPr>
        <w:pStyle w:val="Heading2"/>
      </w:pPr>
      <w:r>
        <w:bookmarkStart w:id="14" w:name="unavailable"/>
        <w:bookmarkEnd w:id="14" w:name="unavailable"/>
      </w:r>
      <w:r>
        <w:t>Unavailable</w:t>
      </w:r>
    </w:p>
    <w:p>
      <w:pPr>
        <w:pStyle w:val="Heading4"/>
      </w:pPr>
      <w:r>
        <w:t>Cases</w:t>
      </w:r>
    </w:p>
    <w:p>
      <w:pPr>
        <w:spacing w:before="0" w:after="0"/>
      </w:pPr>
      <w:r>
        <w:t xml:space="preserve">⚪ </w:t>
      </w:r>
      <w:hyperlink w:anchor="scottviac46c2d76">
        <w:r>
          <w:rPr/>
          <w:t xml:space="preserve">Scott v IAC 46 C2d 76</w:t>
        </w:r>
      </w:hyperlink>
    </w:p>
    <w:p>
      <w:pPr>
        <w:spacing w:before="0" w:after="0"/>
      </w:pPr>
      <w:r>
        <w:t xml:space="preserve">⚪ </w:t>
      </w:r>
      <w:hyperlink w:anchor="abelleiravdi62">
        <w:r>
          <w:rPr/>
          <w:t xml:space="preserve">Abelleira v District Court of Appeal 17 C2d 280</w:t>
        </w:r>
      </w:hyperlink>
    </w:p>
    <w:p>
      <w:pPr>
        <w:spacing w:before="0" w:after="0"/>
      </w:pPr>
      <w:r>
        <w:t xml:space="preserve">⚪ </w:t>
      </w:r>
      <w:hyperlink w:anchor="wcabvsmallcl63">
        <w:r>
          <w:rPr/>
          <w:t xml:space="preserve">WCAB v Small Claims Court 35 CA3d 643</w:t>
        </w:r>
      </w:hyperlink>
    </w:p>
    <w:p>
      <w:pPr>
        <w:spacing w:before="0" w:after="0"/>
      </w:pPr>
      <w:r>
        <w:t xml:space="preserve">⚪ </w:t>
      </w:r>
      <w:hyperlink w:anchor="brownvdesert64">
        <w:r>
          <w:rPr/>
          <w:t xml:space="preserve">Brown v Desert Christian Ctr. 193 CA4th 733</w:t>
        </w:r>
      </w:hyperlink>
    </w:p>
    <w:p>
      <w:pPr>
        <w:spacing w:before="0" w:after="0"/>
      </w:pPr>
      <w:r>
        <w:t xml:space="preserve">⚪ </w:t>
      </w:r>
      <w:hyperlink w:anchor="cityofreddin65">
        <w:r>
          <w:rPr/>
          <w:t xml:space="preserve">City of Redding v Municipal Court 200 CA3d 1181</w:t>
        </w:r>
      </w:hyperlink>
    </w:p>
    <w:p>
      <w:pPr>
        <w:spacing w:before="0" w:after="0"/>
      </w:pPr>
      <w:r>
        <w:t xml:space="preserve">⚪ </w:t>
      </w:r>
      <w:hyperlink w:anchor="popelkaallar66">
        <w:r>
          <w:rPr/>
          <w:t xml:space="preserve">Popelka, Allard, McCowan &amp; Jones v Superior Court 107 CA3d 496</w:t>
        </w:r>
      </w:hyperlink>
    </w:p>
    <w:p>
      <w:pPr>
        <w:spacing w:before="0" w:after="0"/>
      </w:pPr>
      <w:r>
        <w:t xml:space="preserve">⚪ </w:t>
      </w:r>
      <w:hyperlink w:anchor="volkswagenof67">
        <w:r>
          <w:rPr/>
          <w:t xml:space="preserve">Volkswagen of Am., Inc. v Superior Court 94 CA4th 695</w:t>
        </w:r>
      </w:hyperlink>
    </w:p>
    <w:p>
      <w:pPr>
        <w:spacing w:before="0" w:after="0"/>
      </w:pPr>
      <w:r>
        <w:t xml:space="preserve">⚪ </w:t>
      </w:r>
      <w:hyperlink w:anchor="laborworkfor68">
        <w:r>
          <w:rPr/>
          <w:t xml:space="preserve">Labor &amp; Workforce Dev. Agency v Superior Court 19 CA5th 12</w:t>
        </w:r>
      </w:hyperlink>
    </w:p>
    <w:p>
      <w:pPr>
        <w:spacing w:before="0" w:after="0"/>
      </w:pPr>
      <w:r>
        <w:t xml:space="preserve">⚪ </w:t>
      </w:r>
      <w:hyperlink w:anchor="hernandezvsu69">
        <w:r>
          <w:rPr/>
          <w:t xml:space="preserve">Hernandez v Superior Court 112 CA4th 285</w:t>
        </w:r>
      </w:hyperlink>
    </w:p>
    <w:p>
      <w:pPr>
        <w:spacing w:before="0" w:after="0"/>
      </w:pPr>
      <w:r>
        <w:t xml:space="preserve">⚪ </w:t>
      </w:r>
      <w:hyperlink w:anchor="gropenvsuper70">
        <w:r>
          <w:rPr/>
          <w:t xml:space="preserve">Gropen v Superior Court 89 CA5th 1068</w:t>
        </w:r>
      </w:hyperlink>
    </w:p>
    <w:p>
      <w:pPr>
        <w:spacing w:before="0" w:after="0"/>
      </w:pPr>
      <w:r>
        <w:t xml:space="preserve">⚪ </w:t>
      </w:r>
      <w:hyperlink w:anchor="munozvstate371">
        <w:r>
          <w:rPr/>
          <w:t xml:space="preserve">Munoz v State 33 CA4th 1767</w:t>
        </w:r>
      </w:hyperlink>
    </w:p>
    <w:p>
      <w:pPr>
        <w:spacing w:before="0" w:after="0"/>
      </w:pPr>
      <w:r>
        <w:t xml:space="preserve">⚪ </w:t>
      </w:r>
      <w:hyperlink w:anchor="greyhoundlin72">
        <w:r>
          <w:rPr/>
          <w:t xml:space="preserve">Greyhound Lines, Inc. v County of Santa Clara 187 CA3d 480</w:t>
        </w:r>
      </w:hyperlink>
    </w:p>
    <w:p>
      <w:pPr>
        <w:spacing w:before="0" w:after="0"/>
      </w:pPr>
      <w:r>
        <w:t xml:space="preserve">⚪ </w:t>
      </w:r>
      <w:hyperlink w:anchor="brandongvgra73">
        <w:r>
          <w:rPr/>
          <w:t xml:space="preserve">Brandon G. v Gray 111 CA4th 29</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7" w:name="santaclaraco10"/>
        <w:bookmarkEnd w:id="17" w:name="santaclaraco10"/>
      </w:r>
      <w:r>
        <w:t>Santa Clara County Counsel Atty’s Assn v. Woodside 8 Cal.4th 525</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the 'Opening Brief on the Merits', Anthony Jama Hall cites Santa Clara County Counsel Atty’s Assn v. Woodside to establish the legal standard for seeking a writ of mandate. Specifically, the document cites the case for the proposition that a petitioner may seek a writ of mandate to compel a public agency to perform acts required by law (p. 8, 22). The citation is used within the context of Hall's argument that the trial court failed in its ministerial duty to accept evidence regarding his compliance with the Government Claims Act (p. 22-23). Hall interprets the legal reasoning from Woodside as supporting the issuance of an ordinary writ of mandate when there is a clear, present, and ministerial duty on the part of the respondent and a clear, beneficial right on the part of the petitioner (p. 22). The document directly applies these concepts by asserting that Hall fulfilled the requirements for a writ of mandate, yet was erroneously denied relief by the trial court (p. 8).</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8" w:name="countyofsacr11"/>
        <w:bookmarkEnd w:id="18" w:name="countyofsacr11"/>
      </w:r>
      <w:r>
        <w:t>County of Sacramento v. Superior Court 232 Cal.App.4th 305</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APPELLANT Hall, Anthony Jama OPENING BRIEF On The MERITS, the appellant cites County of Sacramento v. Superior Court (2014) 232 Cal.App.4th 305 to support the legal rule that a trial court is required to consider attachments to a late claim petition during a hearing on that petition (p. 15). The appellant interprets this case as a binding interpretation of Government Code section 911.5(b), which mandates that the court make its determination based on the petition and any additional evidence received (p. 15). The context of this citation relates to the appellant's primary grievance: that Judge Christopher Krueger committed an abuse of discretion and a violation of due process by refusing to accept or consider the stamped claim form and other attachments Hall attempted to present during the November 9, 2022, hearing (p. 6, 14). The appellant employs direct application of the legal concepts from County of Sacramento v. Superior Court, arguing that the trial court's refusal to consider his attachments was a 'clear abuse of discretion and error of law' because the Third Appellate District has already interpreted the relevant statute to require such consideration (p. 15). He uses the case to establish that the trial court's procedural conduct was contrary to established appellate authority, thereby necessitating a reversal of the order denying relief from the Government Claims Act (p. 9, 15).</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9" w:name="mcdonoughvsu12"/>
        <w:bookmarkEnd w:id="19" w:name="mcdonoughvsu12"/>
      </w:r>
      <w:r>
        <w:t>McDonough v. Superior Court 124 Cal.App. 66</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the Opening Brief, Anthony Jama Hall cites McDonough v. Superior Court (1932) 124 Cal.App. 66 to support the legal rule that a writ of mandate is a proper mechanism to compel a public official or body to perform a ministerial duty (p. 16). The citation appears within Argument 2, where Hall challenges Judge James P. Arguelles's ruling that the Sacramento Superior Court lacked jurisdiction to issue a writ of mandate against itself (p. 16). Hall employs analogical reasoning by arguing that just as a writ can compel public officials to perform ministerial acts, the superior court should have used its inherent power and original jurisdiction under the California Constitution to compel its own judicial officers to perform their ministerial duties—specifically, the duty to accept and consider evidence (pp. 16-17). Hall interprets McDonough as establishing a broad principle for the use of mandamus that should not be restricted by an 'overly narrow' reading of Code of Civil Procedure section 1085 (p. 16). He applies this concept by asserting that the trial court's refusal to issue the writ based on a perceived lack of jurisdiction was an abuse of discretion and a miscarriage of justice, as the court failed to recognize its authority to ensure the performance of mandatory legal duties (pp. 16, 18).</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0" w:name="estateofsand13"/>
        <w:bookmarkEnd w:id="20" w:name="estateofsand13"/>
      </w:r>
      <w:r>
        <w:t>Estate of Sanders 167 Cal.App.2d 157</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APPELLANT Hall, Anthony Jama OPENING BRIEF On The MERITS cites Estate of Sanders to support the legal rule that a trial court has a mandatory duty to receive and consider all evidence that is relevant and material to the issues presented, and that it is an abuse of discretion for a court to refuse to receive such evidence (p. 14). This citation is used in the context of Argument 1, where the appellant challenges the trial court's refusal to accept attachments to his late claim petition, specifically a stamped claim form that he asserts is primary evidence of his compliance with the Government Claims statute (p. 14). Hall interprets the legal reasoning in Estate of Sanders as a requirement for the court to consider all relevant evidence presented by a party, regardless of procedural mishaps like inadvertent failure to attach documents to a petition (p. 14, 23). The document directly applies the legal concepts from Estate of Sanders by arguing that the trial court's decision to refuse his attachments was arbitrary, capricious, and lacked any rational basis, thereby constituting the exact 'abuse of discretion' described in the Sanders holding (p. 14).</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1" w:name="mantonyavcou14"/>
        <w:bookmarkEnd w:id="21" w:name="mantonyavcou14"/>
      </w:r>
      <w:r>
        <w:t>Mantonya v. County of Los Angeles 33 Cal.App.5th 666</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the Opening Brief, Anthony Jama Hall cites Mantonya v. County of Los Angeles (2019) 33 Cal.App.5th 666 to support the proposition that a trial court's refusal to accept evidence presented by a party constitutes an abuse of discretion (p. 26). The citation appears within Argument 4, where Hall contends that a writ of mandate is the appropriate remedy for the trial court's 'erroneous tentative ruling' denying him relief from the Government Claims Act (p. 22). Hall argues that Judge Krueger neglected a ministerial duty by refusing to accept 'verified claim and supporting documentation' during the November 9, 2022 hearing (p. 26). Hall interprets Mantonya as establishing that the rejection of such evidence prevents a court from considering the merits of a claim, thereby denying the litigant a fair hearing (p. 26). The brief applies this legal concept directly to Hall's situation, asserting that the trial court's actions in his specific case mirrored the abuse of discretion described in the cited authority (p. 26).</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2" w:name="tuolumneairs15"/>
        <w:bookmarkEnd w:id="22" w:name="tuolumneairs15"/>
      </w:r>
      <w:r>
        <w:t>Tuolumne Air Service, Inc. v. Turlock Irrigation Dist. 84 Cal.App.3d 576</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the Opening Brief on the Merits, Anthony Jama Hall cites Tuolumne Air Service, Inc. v. Turlock Irrigation Dist. (1978) 84 Cal.App.3d 576 to support the legal rule regarding the scope of a trial court's power when granting relief from the Government Claims Act under Government Code section 946.6 (p. 29). Specifically, Hall cites the case for the proposition that the trial court 'has no power to order the filing of a late claim, but only the power to allow a timely filing (within 30 days of the order), of a complaint without the filing of a Claim at All' (p. 29). The context of this citation relates to Hall's argument that Judge Krueger abused his discretion and failed to perform a ministerial duty by denying his petition for relief from the late filing of a government claim (p. 27, 29). Hall interprets the legal reasoning from Tuolumne Air Service as a limitation on the court's authority, emphasizing that the court's role is to permit the filing of a lawsuit rather than the claim itself once the statutory requirements for relief are met (p. 29). Hall applies this concept directly to his situation, arguing that the trial court 'failed to allow a timely filing of Petitioner-Plaintiff Complaint within thirty (30) days' despite his assertion that he had presented evidence of a timely filed claim against the County (p. 29). He uses the case to highlight the court's alleged failure to follow procedural mandates and ensure due process (p. 29).</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3" w:name="bairdvsuperi16"/>
        <w:bookmarkEnd w:id="23" w:name="bairdvsuperi16"/>
      </w:r>
      <w:r>
        <w:t>Baird v. Superior Court 219 Cal.App.3d 244</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the document 'APPELLANT Hall, Anthony Jama OPENING BRIEF On The MERITS', the appellant cites Baird v. Superior Court, 219 Cal.App.3d 244, to support the legal proposition that a judge's bias or prejudice can be inferred from their actions (p. 31). This citation appears within Argument 5, where the appellant contends that the trial court erred by denying his challenge for cause against Judge Christopher Krueger under Code of Civil Procedure sections 170.3, 170.4, and 170.6 (p. 27, 31). The appellant interprets Baird as providing a standard for identifying judicial bias, specifically that such bias is not always explicit but can be deduced from the conduct of the judicial officer (p. 31). The appellant applies this concept by arguing that Judge Krueger's specific actions—namely, failing to follow Government Code section 946.6 and ignoring the appellant's evidence—demonstrated bias and prejudice that necessitated disqualification (p. 31). The document uses Baird as a supporting authority to justify the appellant's claim that the judge's procedural decisions were not merely legal errors but evidence of a lack of impartiality that violated his constitutional right to a fair trial (p. 31).</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4" w:name="mcdowellvsup17"/>
        <w:bookmarkEnd w:id="24" w:name="mcdowellvsup17"/>
      </w:r>
      <w:r>
        <w:t>McDowell v. Superior Court 137 Cal.App.3d 264</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the document, Hall cites McDowell v. Superior Court (1982) 137 Cal.App.3d 264 to support the legal rule that a "writ of mandate is the appropriate remedy to compel a trial court to perform a ministerial duty or to correct an abuse of discretion" (p. 25). This citation occurs within Argument 4, where Hall contends that a writ of mandate is the "Adequate Remedy" for the trial court's "Erroneous Tentative Ruling Denying Petitioner-Plaintiff Relief from the ‘Government Claims Act’" (p. 22). Hall interprets the legal reasoning of McDowell as establishing mandamus as the proper procedural vehicle to address judicial errors, specifically when a court refuses to perform a duty required by law. He directly applies this concept to his own case, arguing that the trial court's "refusal to accept evidence and consider the merits of Petitioner-Plaintiff's claim constitutes an abuse of discretion, warranting mandamus relief" under the standard set forth in McDowell (p. 25).</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5" w:name="lightfootvsu18"/>
        <w:bookmarkEnd w:id="25" w:name="lightfootvsu18"/>
      </w:r>
      <w:r>
        <w:t>Lightfoot v. Superior Court 235 Cal.App.3d 505</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the document, Hall cites Lightfoot v. Superior Court, 235 Cal.App.3d 505, to support the legal rule that a judge's failure to follow the law can serve as a valid ground for a challenge for cause under Code of Civil Procedure section 170.3 (p. 31). This citation appears within Argument 5, where Hall contends that the trial court erred by denying his challenge for cause against Judge Christopher Krueger (p. 27, 31). Hall interprets the reasoning in Lightfoot to mean that procedural failures or the disregard of statutory mandates—specifically Judge Krueger's alleged failure to follow Government Code section 946.6 and his refusal to accept evidence—demonstrate bias and prejudice (p. 31). Hall applies this concept by arguing that because Judge Krueger failed to carry out ministerial duties and follow the law, he should have been disqualified, and the failure to do so violated Hall's constitutional right to a fair and impartial trial (p. 31).</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6" w:name="commercialcode1308"/>
        <w:bookmarkEnd w:id="26" w:name="commercialcode1308"/>
      </w:r>
      <w:r>
        <w:t>Commercial Code § 1308</w:t>
      </w:r>
    </w:p>
    <w:p>
      <w:pPr>
        <w:spacing w:before="240" w:after="240"/>
      </w:pPr>
      <w:r>
        <w:rPr>
          <w:b/>
          <w:i/>
          <w:color w:val="3A0517"/>
        </w:rPr>
        <w:t>Use of Citation</w:t>
      </w:r>
      <w:r>
        <w:t xml:space="preserve"> ☠️</w:t>
      </w:r>
    </w:p>
    <w:p>
      <w:pPr>
        <w:spacing w:before="0" w:after="0"/>
      </w:pPr>
      <w:r>
        <w:t>The document cites CA Commercial Code section 1308 (referred to as CCC 1308) as a foundational declaration of the appellant's legal standing, appearing in the header of nearly every page (p. 1, 2, 3, 4, 5, 6, 7, 8, 9, 10, 11, 12, 13, 14, 15, 16, 17, 18, 19, 20, 21, 22, 23, 24, 25, 26, 27, 28, 29, 30, 31, 32, 33, 34, 35, 36, 39). It is used to support the proposition that the appellant is explicitly reserving all of his rights and is not waiving any legal or constitutional protections by participating in the judicial process. The precise context is the phrase ALL RIGHTS RESERVED UCC 1-308 / CCC 1308 (p. 1), which serves as a boilerplate reservation of rights intended to ensure that the appellant's actions in court do not constitute an implied contract or a waiver of his common law or constitutional rights. The analogical reasoning employed links the California Commercial Code to the Uniform Commercial Code (UCC 1-308), reflecting a legal theory that commercial statutes can be used to protect individual sovereignty and property from being taken without just compensation (p. 11). The appellant interprets CCC 1308 as a mandatory notice to the court and respondents that he is exercising his 1st Amendment Freedoms for Redress of Grievances (p. 35) while maintaining his status as a litigant In Pro Per (p. 1) who refuses to be disenfranchised by the acts and omissions of the trial court (p. 35).</w:t>
      </w:r>
    </w:p>
    <w:p>
      <w:pPr>
        <w:spacing w:before="240" w:after="240"/>
      </w:pPr>
      <w:r>
        <w:rPr>
          <w:b/>
          <w:i/>
          <w:color w:val="3A0517"/>
        </w:rPr>
        <w:t>Accuracy Review</w:t>
      </w:r>
    </w:p>
    <w:p>
      <w:pPr>
        <w:spacing w:before="0" w:after="0"/>
      </w:pPr>
      <w:r>
        <w:t>The citation of CA Commercial Code section 1308 in the document is a clear contextual overextension and a technical misapplication. While the appellant accurately quotes the general principle of reserving rights during performance, he applies it entirely outside of its intended factual and procedural boundaries. CCC 1308 is situated within the Commercial Code to facilitate the continuation of business dealings despite disputes; it has no legal relevance to the filing of an 'Opening Brief on the Merits' or the preservation of constitutional rights in a tort action against a government entity. The appellant's attempt to use a commercial statute to shield himself from the court's procedural rules or to assert individual sovereignty mischaracterizes the statute's purpose. Additionally, the citation fails to account for the fact that the Commercial Code does not supersede the Code of Civil Procedure or the Government Code in the context of a Writ of Mandate. The outcome sought by the appellant—using a commercial reservation to bypass procedural defaults or jurisdictional limits—is fundamentally at odds with the legislative intent of the Commercial Code.</w:t>
      </w:r>
    </w:p>
    <w:p>
      <w:r>
        <w:br w:type="page"/>
      </w:r>
    </w:p>
    <w:p>
      <w:pPr>
        <w:spacing w:before="0" w:after="0"/>
      </w:pPr>
      <w:r/>
      <w:hyperlink w:anchor="seriousissues">
        <w:r>
          <w:rPr/>
          <w:t xml:space="preserve">↑ Triage</w:t>
        </w:r>
      </w:hyperlink>
    </w:p>
    <w:p>
      <w:pPr>
        <w:pStyle w:val="Heading3"/>
      </w:pPr>
      <w:r>
        <w:bookmarkStart w:id="27" w:name="governmentcode9115"/>
        <w:bookmarkEnd w:id="27" w:name="governmentcode9115"/>
      </w:r>
      <w:r>
        <w:t>Government Code § 911.5</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The APPELLANT Hall, Anthony Jama OPENING BRIEF On The MERITS cites CA Government Code section 911.5(b) to support the proposition that a trial court is legally mandated to consider a petition for relief from the Government Claims Act along with any accompanying attachments during the hearing on that petition (p. 15). The appellant uses this statute to argue that the trial court committed a 'clear abuse of discretion and error of law' by refusing to consider specific attachments—namely, a stamped claim form—that were part of his late claim petition (p. 15). Hall employs analogical reasoning by citing County of Sacramento v. Superior Court (2014) 232 Cal.App.4th 305, noting that the Third Appellate District has specifically interpreted section 911.5(b) to require the consideration of such attachments (p. 15). He further contextualizes this statutory requirement within broader constitutional principles, arguing that the court's failure to follow the mandate of section 911.5(b) resulted in a violation of his due process rights under the California and U.S. Constitutions, as it deprived him of a 'meaningful opportunity to present his case' (p. 14-15). Hall interprets the language of CA Government Code section 911.5(b) as an explicit requirement that removes judicial discretion regarding whether to receive and weigh relevant evidence presented as part of the petition process (p. 15).</w:t>
      </w:r>
    </w:p>
    <w:p>
      <w:pPr>
        <w:spacing w:before="240" w:after="240"/>
      </w:pPr>
      <w:r>
        <w:rPr>
          <w:b/>
          <w:i/>
          <w:color w:val="3A0517"/>
        </w:rPr>
        <w:t>Accuracy Review</w:t>
      </w:r>
    </w:p>
    <w:p>
      <w:pPr>
        <w:spacing w:before="0" w:after="0"/>
      </w:pPr>
      <w:r>
        <w:t>Accuracy Review is not available for this rating level.</w:t>
      </w:r>
    </w:p>
    <w:p>
      <w:r>
        <w:br w:type="page"/>
      </w:r>
    </w:p>
    <w:p>
      <w:pPr>
        <w:spacing w:before="0" w:after="0"/>
      </w:pPr>
      <w:r/>
      <w:hyperlink w:anchor="seriousissues">
        <w:r>
          <w:rPr/>
          <w:t xml:space="preserve">↑ Triage</w:t>
        </w:r>
      </w:hyperlink>
    </w:p>
    <w:p>
      <w:pPr>
        <w:pStyle w:val="Heading3"/>
      </w:pPr>
      <w:r>
        <w:bookmarkStart w:id="28" w:name="codeofcivilp21"/>
        <w:bookmarkEnd w:id="28" w:name="codeofcivilp21"/>
      </w:r>
      <w:r>
        <w:t>Code of Civil Procedure § 2030</w:t>
      </w:r>
    </w:p>
    <w:p>
      <w:pPr>
        <w:spacing w:before="240" w:after="240"/>
      </w:pPr>
      <w:r>
        <w:rPr>
          <w:b/>
          <w:i/>
          <w:color w:val="3A0517"/>
        </w:rPr>
        <w:t>Use of Citation</w:t>
      </w:r>
      <w:r>
        <w:t xml:space="preserve"> ☠️</w:t>
      </w:r>
    </w:p>
    <w:p>
      <w:pPr>
        <w:spacing w:before="0" w:after="0"/>
      </w:pPr>
      <w:r>
        <w:t>The document cites CA Code of Civil Procedure section 2030 within 'Argument - 1' to support the contention that the trial court's refusal to consider attachments to a late claim petition was an abuse of discretion and a violation of due process (p. 14). Specifically, Hall uses the statute to support the proposition that the court's refusal to accept a filed claim attachment, which included a stamped claim form, was 'an abuse of discretion and a violation of the Appellant's due process rights' (p. 14). He further cites the section to argue that the court's decision to refuse the attachments was 'arbitrary and capricious and lacked any rational basis' (p. 14).</w:t>
      </w:r>
    </w:p>
    <w:p>
      <w:pPr>
        <w:spacing w:before="0" w:after="0"/>
      </w:pPr>
      <w:r>
        <w:t>In terms of context and analogical reasoning, Hall links the statutory requirements of section 2030 with the due process clause of the California Constitution, Article I, Section 7(a), asserting that these authorities collectively require notice and an opportunity to be heard before the deprivation of property (p. 14). He reinforces this by citing 'Estate of Sanders (1959) 167 Cal.App.2d 157, 161,' for the principle that a court must receive and consider relevant evidence, and 'Fuentes v. Shevin (1972) 407 U.S. 67,' regarding the fundamental right to a meaningful opportunity to present a case (p. 14-15). Although CA Code of Civil Procedure section 2030 historically related to discovery (interrogatories), Hall interprets and applies it as a procedural benchmark for the court's duty to accept and consider evidence presented by a party, arguing that the court's failure to do so 'deprived the Appellant of the opportunity to present relevant evidence' (p. 14).</w:t>
      </w:r>
    </w:p>
    <w:p>
      <w:pPr>
        <w:spacing w:before="240" w:after="240"/>
      </w:pPr>
      <w:r>
        <w:rPr>
          <w:b/>
          <w:i/>
          <w:color w:val="3A0517"/>
        </w:rPr>
        <w:t>Accuracy Review</w:t>
      </w:r>
    </w:p>
    <w:p>
      <w:pPr>
        <w:spacing w:before="0" w:after="0"/>
      </w:pPr>
      <w:r>
        <w:t>The citation to CA Code of Civil Procedure section 2030 is a complete misapplication of the law. Hall cites a statute regarding interrogatory responses to support a claim that a trial court's refusal to accept attachments to a petition violated due process and was 'arbitrary and capricious.' There is no legal or logical nexus between the 'option to produce records' in discovery and a judge's ministerial duty to consider evidence during a hearing on a late claim petition. Furthermore, Hall uses the statute as a benchmark for judicial discretion and due process, which are concepts governed by the California Constitution and the Evidence Code, not by discovery rules. This is a contextual overextension where a specific, narrow procedural rule for pre-trial discovery is being presented as a general mandate for judicial conduct and evidentiary admissibility.</w:t>
      </w:r>
    </w:p>
    <w:p>
      <w:r>
        <w:br w:type="page"/>
      </w:r>
    </w:p>
    <w:p>
      <w:pPr>
        <w:spacing w:before="0" w:after="0"/>
      </w:pPr>
      <w:r/>
      <w:hyperlink w:anchor="seriousissues">
        <w:r>
          <w:rPr/>
          <w:t xml:space="preserve">↑ Triage</w:t>
        </w:r>
      </w:hyperlink>
    </w:p>
    <w:p>
      <w:pPr>
        <w:pStyle w:val="Heading3"/>
      </w:pPr>
      <w:r>
        <w:bookmarkStart w:id="29" w:name="codeofcivilp22"/>
        <w:bookmarkEnd w:id="29" w:name="codeofcivilp22"/>
      </w:r>
      <w:r>
        <w:t>Code of Civil Procedure § 2040</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the document 'APPELLANT Hall, Anthony Jama OPENING BRIEF On The MERITS', CA Code of Civil Procedure section 2040 is cited to support the proposition that a trial court's refusal to accept evidence presented by a party constitutes an abuse of discretion (p. 26). The appellant, Anthony Jama Hall, uses this statute to argue that the trial court erred when it 'refused to accept evidence presented by Petitioner-Plaintiff, including his verified claim and supporting documentation' (p. 26). The context of this citation is Hall's broader argument that the trial court (specifically Judge Krueger in Department 54) neglected its ministerial duty to ensure fair due process by failing to 'Hear, Receive, Accept, Authenticate, Verify, Considered &amp; Weighed the Evidence' that Hall attempted to present during a hearing on November 9, 2022 (p. 23). Hall employs analogical reasoning by pairing the citation to section 2040 with 'Mantonya v. County of Los Angeles (2019) 33 Cal.App.5th 666, 673' to establish that by rejecting his evidence, the court failed to consider the merits of his claim and denied him a fair hearing (p. 26). Furthermore, Hall links this procedural requirement to Government Code section 946.6(e), which mandates that a court make an independent determination based on the petition and 'any additional evidence received at the hearing' (p. 24). Hall interprets the statutory rules of CA Code of Civil Procedure section 2040 as a mandate for the court to accept into evidence 'Pleadings, Attachments, Documentary Evidence submitted and tendered to the Court by All Parties Beneficially Interested' rather than refusing them (p. 24).</w:t>
      </w:r>
    </w:p>
    <w:p>
      <w:pPr>
        <w:spacing w:before="240" w:after="240"/>
      </w:pPr>
      <w:r>
        <w:rPr>
          <w:b/>
          <w:i/>
          <w:color w:val="3A0517"/>
        </w:rPr>
        <w:t>Accuracy Review</w:t>
      </w:r>
    </w:p>
    <w:p>
      <w:pPr>
        <w:spacing w:before="0" w:after="0"/>
      </w:pPr>
      <w:r>
        <w:t>Accuracy Review is not available for this rating level.</w:t>
      </w:r>
    </w:p>
    <w:p>
      <w:r>
        <w:br w:type="page"/>
      </w:r>
    </w:p>
    <w:p>
      <w:pPr>
        <w:spacing w:before="0" w:after="0"/>
      </w:pPr>
      <w:r/>
      <w:hyperlink w:anchor="significantissues">
        <w:r>
          <w:rPr/>
          <w:t xml:space="preserve">↑ Triage</w:t>
        </w:r>
      </w:hyperlink>
    </w:p>
    <w:p>
      <w:pPr>
        <w:pStyle w:val="Heading3"/>
      </w:pPr>
      <w:r>
        <w:bookmarkStart w:id="30" w:name="peoplevsuper23"/>
        <w:bookmarkEnd w:id="30" w:name="peoplevsuper23"/>
      </w:r>
      <w:r>
        <w:t>People v. Superior Court 6 Cal.3d 704</w:t>
      </w:r>
    </w:p>
    <w:p>
      <w:pPr>
        <w:spacing w:before="240" w:after="240"/>
      </w:pPr>
      <w:r>
        <w:rPr>
          <w:b/>
          <w:i/>
          <w:color w:val="3A0517"/>
        </w:rPr>
        <w:t>Use of Citation</w:t>
      </w:r>
      <w:r>
        <w:t xml:space="preserve"> 🔴</w:t>
      </w:r>
    </w:p>
    <w:p>
      <w:pPr>
        <w:spacing w:before="0" w:after="0"/>
      </w:pPr>
      <w:r>
        <w:t>In the APPELLANT Hall, Anthony Jama OPENING BRIEF On The MERITS, the case People v. Superior Court (1972) 6 Cal.3d 704 is cited to support the legal rule that judicial discretion must be exercised in a manner consistent with the principles of justice and fairness (p. 20, 21). The citation appears within Argument 3, where the appellant contends that Judge James P. Arguelles abused his judicial discretion by refusing to exercise it in favor of the appellant's timely filed writ of mandate (p. 19). The appellant interprets the legal reasoning from People v. Superior Court as a mandate that judicial decisions cannot be arbitrary but must instead promote fairness and justice (p. 20, 21). The brief applies this concept by arguing that the trial court's refusal to exercise discretion in his favor was inconsistent with these established principles, thereby depriving him of a fair and impartial hearing and resulting in a miscarriage of justice (p. 20, 21).</w:t>
      </w:r>
    </w:p>
    <w:p>
      <w:pPr>
        <w:spacing w:before="240" w:after="240"/>
      </w:pPr>
      <w:r>
        <w:rPr>
          <w:b/>
          <w:i/>
          <w:color w:val="3A0517"/>
        </w:rPr>
        <w:t>Accuracy Review</w:t>
      </w:r>
    </w:p>
    <w:p>
      <w:pPr>
        <w:spacing w:before="0" w:after="0"/>
      </w:pPr>
      <w:r>
        <w:t>The citation to People v. Superior Court (1972) 6 Cal.3d 704 is a technical misapplication and contextual overextension. The appellant characterizes the case as holding a general rule that 'judicial discretion must be exercised in a manner that is consistent with the principles of justice and fairness,' but the decision is actually a narrow ruling on the sufficiency of search warrant affidavits and the interpretation of hearsay in criminal investigations. Page 711, which is specifically cited, contains no mention of a general 'justice and fairness' standard for judicial discretion; instead, it discusses the 'commonsense and realistic' testing of affidavits to avoid discouraging police officers from seeking warrants. Applying a standard meant to protect the validity of search warrants to a civil judge's discretion in a Government Claims Act proceeding is doctrinally inappropriate. Furthermore, the appellant relies on this case to support a broad constitutional argument (Art. VI, § 10) that is unrelated to the Fourth Amendment issues decided in the cited case. While the appellant correctly identifies the need for fair discretion, attributing this specific holding to People v. Superior Court misrepresents the case's essential reasoning and legal purpose.</w:t>
      </w:r>
    </w:p>
    <w:p>
      <w:r>
        <w:br w:type="page"/>
      </w:r>
    </w:p>
    <w:p>
      <w:pPr>
        <w:spacing w:before="0" w:after="0"/>
      </w:pPr>
      <w:r/>
      <w:hyperlink w:anchor="significantissues">
        <w:r>
          <w:rPr/>
          <w:t xml:space="preserve">↑ Triage</w:t>
        </w:r>
      </w:hyperlink>
    </w:p>
    <w:p>
      <w:pPr>
        <w:pStyle w:val="Heading3"/>
      </w:pPr>
      <w:r>
        <w:bookmarkStart w:id="31" w:name="inrecortez6cal3d78"/>
        <w:bookmarkEnd w:id="31" w:name="inrecortez6cal3d78"/>
      </w:r>
      <w:r>
        <w:t>In re Cortez 6 Cal.3d 78</w:t>
      </w:r>
    </w:p>
    <w:p>
      <w:pPr>
        <w:spacing w:before="240" w:after="240"/>
      </w:pPr>
      <w:r>
        <w:rPr>
          <w:b/>
          <w:i/>
          <w:color w:val="3A0517"/>
        </w:rPr>
        <w:t>Use of Citation</w:t>
      </w:r>
      <w:r>
        <w:t xml:space="preserve"> 🔴</w:t>
      </w:r>
    </w:p>
    <w:p>
      <w:pPr>
        <w:spacing w:before="0" w:after="0"/>
      </w:pPr>
      <w:r>
        <w:t>APPELLANT Hall, Anthony Jama OPENING BRIEF On The MERITS cites In re Cortez to support the legal rule that judicial discretion must be exercised in a manner 'consistent with the spirit of the law and the interests of justice' and must be based on a 'considered judgment' (p. 19). The context of the citation is Argument 3, where Hall contends that Judge James P. Arguelles abused his discretion by refusing to exercise it in favor of Hall's Writ of Mandate (p. 19). Hall interprets the case as establishing that discretion is not unlimited and must promote fairness and justice (p. 19-20). The brief directly applies these concepts to the trial court's actions, arguing that the court's refusal to exercise discretion was a miscarriage of justice that ignored the principles set forth in In re Cortez (p. 20).</w:t>
      </w:r>
    </w:p>
    <w:p>
      <w:pPr>
        <w:spacing w:before="240" w:after="240"/>
      </w:pPr>
      <w:r>
        <w:rPr>
          <w:b/>
          <w:i/>
          <w:color w:val="3A0517"/>
        </w:rPr>
        <w:t>Accuracy Review</w:t>
      </w:r>
    </w:p>
    <w:p>
      <w:pPr>
        <w:spacing w:before="0" w:after="0"/>
      </w:pPr>
      <w:r>
        <w:t>The citation of In re Cortez in the appellant's brief is a contextual overextension and contains significant technical misapplications. First, the appellant applies a narrow holding regarding constitutional rights in criminal sentencing (the right to presence and counsel at a Tenorio hearing) to a general challenge of a judge's discretionary ruling in a civil Government Claims Act matter. While Cortez does discuss the nature of judicial discretion, it does so to emphasize that a judge must have the power to exercise discretion unfettered by unconstitutional statutory restrictions, not to mandate a specific outcome in a civil mandate proceeding. Most critically, the appellant attributes specific, quoted legal standards to Cortez that do not exist in the text of the opinion. The brief represents these phrases as direct holdings or definitions from page 85, but the court's actual discussion on that page focuses on Penal Code section 1203 and the Surplice definition of discretion, which uses entirely different terminology ('discriminating judgment within the bounds of reason').</w:t>
      </w:r>
    </w:p>
    <w:p>
      <w:pPr>
        <w:spacing w:before="240" w:after="240"/>
      </w:pPr>
      <w:r>
        <w:rPr>
          <w:b/>
          <w:i/>
          <w:color w:val="3A0517"/>
        </w:rPr>
        <w:t>Use of Quotes</w:t>
      </w:r>
      <w:r>
        <w:bookmarkStart w:id="32" w:name="inrecortez6c25"/>
        <w:bookmarkEnd w:id="32" w:name="inrecortez6c25"/>
      </w:r>
    </w:p>
    <w:p>
      <w:pPr>
        <w:spacing w:before="240" w:after="240"/>
      </w:pPr>
      <w:r>
        <w:t xml:space="preserve">☠️ </w:t>
      </w:r>
      <w:r>
        <w:rPr>
          <w:b/>
          <w:i/>
          <w:color w:val="3A0517"/>
        </w:rPr>
        <w:t>Quote 1 - 6 Cal.3d 78, 85</w:t>
      </w:r>
    </w:p>
    <w:p>
      <w:pPr>
        <w:pStyle w:val="Quote"/>
      </w:pPr>
      <w:r>
        <w:t>consistent with the spirit of the law and the interests of justice</w:t>
      </w:r>
    </w:p>
    <w:p>
      <w:pPr>
        <w:spacing w:before="0" w:after="0"/>
      </w:pPr>
      <w:r>
        <w:t>The quote 'consistent with the spirit of the law and the interests of justice' does not exist in the text of In re Cortez. While the court mentions the 'interests of justice' on page 83 and quotes a statute mentioning the 'ends of justice' on page 85, the specific phrase presented as a direct quote is a fabrication or a severe misattribution.</w:t>
      </w:r>
    </w:p>
    <w:p>
      <w:pPr>
        <w:spacing w:before="240" w:after="240"/>
      </w:pPr>
      <w:r>
        <w:t xml:space="preserve">☠️ </w:t>
      </w:r>
      <w:r>
        <w:rPr>
          <w:b/>
          <w:i/>
          <w:color w:val="3A0517"/>
        </w:rPr>
        <w:t>Quote 1 - 6 Cal.3d 78, 85</w:t>
      </w:r>
    </w:p>
    <w:p>
      <w:pPr>
        <w:pStyle w:val="Quote"/>
      </w:pPr>
      <w:r>
        <w:t>considered judgment</w:t>
      </w:r>
    </w:p>
    <w:p>
      <w:pPr>
        <w:spacing w:before="0" w:after="0"/>
      </w:pPr>
      <w:r>
        <w:t>The quote 'considered judgment' does not exist in In re Cortez. The court uses the term 'considered' in a quote from another case regarding facts being 'known and considered,' and it discusses 'discriminating judgment,' but the specific two-word phrase 'considered judgment' is not used as a quoted standard in the opinion.</w:t>
      </w:r>
    </w:p>
    <w:p>
      <w:pPr>
        <w:spacing w:before="240" w:after="240"/>
      </w:pPr>
      <w:r>
        <w:rPr>
          <w:b/>
          <w:i/>
          <w:color w:val="3A0517"/>
        </w:rPr>
        <w:t>Other Relevant Precedence</w:t>
      </w:r>
    </w:p>
    <w:p>
      <w:pPr>
        <w:spacing w:before="0" w:after="0"/>
      </w:pPr>
      <w:r>
        <w:rPr>
          <w:b/>
        </w:rPr>
        <w:t>1. Optimal Markets, Inc. v. Salant, 221 Cal. App. 4th 912:</w:t>
      </w:r>
      <w:r>
        <w:t xml:space="preserve"> This civil case applies the </w:t>
      </w:r>
      <w:r>
        <w:rPr>
          <w:i/>
        </w:rPr>
        <w:t>Cortez</w:t>
      </w:r>
      <w:r>
        <w:t xml:space="preserve"> principle that judicial discretion requires knowledge and consideration of all material facts, directly supporting Hall's argument that the court erred by refusing to consider his evidence.</w:t>
      </w:r>
    </w:p>
    <w:p>
      <w:pPr>
        <w:spacing w:before="0" w:after="0"/>
      </w:pPr>
      <w:r>
        <w:rPr>
          <w:b/>
        </w:rPr>
        <w:t>2. Oldham v. California Capital Fund, Inc., 109 Cal. App. 4th 421:</w:t>
      </w:r>
      <w:r>
        <w:t xml:space="preserve"> This case reinforces the </w:t>
      </w:r>
      <w:r>
        <w:rPr>
          <w:i/>
        </w:rPr>
        <w:t>Cortez</w:t>
      </w:r>
      <w:r>
        <w:t xml:space="preserve"> requirement in a civil context, stating that a court abuses its discretion when it makes a determination without knowing all material facts.</w:t>
      </w:r>
    </w:p>
    <w:p>
      <w:pPr>
        <w:spacing w:before="0" w:after="0"/>
      </w:pPr>
      <w:r>
        <w:rPr>
          <w:b/>
        </w:rPr>
        <w:t>3. People v. Erving, 63 Cal. App. 4th 652:</w:t>
      </w:r>
      <w:r>
        <w:t xml:space="preserve"> A Third Appellate District case that cites </w:t>
      </w:r>
      <w:r>
        <w:rPr>
          <w:i/>
        </w:rPr>
        <w:t>Cortez</w:t>
      </w:r>
      <w:r>
        <w:t xml:space="preserve"> to establish the standard of review for discretionary rulings, providing a local jurisdictional match for the general principle.</w:t>
      </w:r>
    </w:p>
    <w:p>
      <w:pPr>
        <w:spacing w:before="0" w:after="0"/>
      </w:pPr>
      <w:r>
        <w:rPr>
          <w:b/>
        </w:rPr>
        <w:t>4. Shaw v. County of Santa Cruz, 170 Cal. App. 4th 229:</w:t>
      </w:r>
      <w:r>
        <w:t xml:space="preserve"> This case applies the </w:t>
      </w:r>
      <w:r>
        <w:rPr>
          <w:i/>
        </w:rPr>
        <w:t>Cortez</w:t>
      </w:r>
      <w:r>
        <w:t xml:space="preserve"> definition of abuse of discretion to civil evidentiary rulings, which is highly relevant to Hall's challenge regarding the court's refusal to accept his attachments.</w:t>
      </w:r>
    </w:p>
    <w:p>
      <w:pPr>
        <w:spacing w:before="0" w:after="0"/>
      </w:pPr>
      <w:r>
        <w:rPr>
          <w:b/>
        </w:rPr>
        <w:t>5. Harris v. Superior Court, 19 Cal. 3d 786:</w:t>
      </w:r>
      <w:r>
        <w:t xml:space="preserve"> A California Supreme Court case that reaffirms the </w:t>
      </w:r>
      <w:r>
        <w:rPr>
          <w:i/>
        </w:rPr>
        <w:t>Cortez</w:t>
      </w:r>
      <w:r>
        <w:t xml:space="preserve"> definition of judicial discretion, providing the highest level of authority for the proposition that discretion must be exercised based on sound principles of law.</w:t>
      </w:r>
    </w:p>
    <w:p>
      <w:r>
        <w:br w:type="page"/>
      </w:r>
    </w:p>
    <w:p>
      <w:pPr>
        <w:spacing w:before="0" w:after="0"/>
      </w:pPr>
      <w:r/>
      <w:hyperlink w:anchor="significantissues">
        <w:r>
          <w:rPr/>
          <w:t xml:space="preserve">↑ Triage</w:t>
        </w:r>
      </w:hyperlink>
    </w:p>
    <w:p>
      <w:pPr>
        <w:pStyle w:val="Heading3"/>
      </w:pPr>
      <w:r>
        <w:bookmarkStart w:id="33" w:name="codeofcivilp26"/>
        <w:bookmarkEnd w:id="33" w:name="codeofcivilp26"/>
      </w:r>
      <w:r>
        <w:t>Code of Civil Procedure § 1085</w:t>
      </w:r>
    </w:p>
    <w:p>
      <w:pPr>
        <w:spacing w:before="240" w:after="240"/>
      </w:pPr>
      <w:r>
        <w:rPr>
          <w:b/>
          <w:i/>
          <w:color w:val="3A0517"/>
        </w:rPr>
        <w:t>Use of Citation</w:t>
      </w:r>
      <w:r>
        <w:t xml:space="preserve"> 🔴</w:t>
      </w:r>
    </w:p>
    <w:p>
      <w:pPr>
        <w:spacing w:before="0" w:after="0"/>
      </w:pPr>
      <w:r>
        <w:t>In the document 'APPELLANT Hall, Anthony Jama OPENING BRIEF On The MERITS,' CA Code of Civil Procedure section 1085 is cited to support the proposition that a writ of mandate is the appropriate legal mechanism to compel a public official or agency to perform a ministerial duty required by law (p. 8, 16, 22). Hall uses this statute to argue that the trial court erred in dismissing his petition for a writ of mandate, specifically challenging the court's ruling that it lacked jurisdiction to issue such a writ against itself (p. 16). Hall contends that section 1085 does not explicitly prohibit a superior court from issuing a writ against itself and must be read in conjunction with Article VI, section 10 of the California Constitution, which grants superior courts original jurisdiction in proceedings for extraordinary relief (p. 16-17). He employs analogical reasoning by citing 'McDonough v. Superior Court' (1932) to establish that the writ's purpose is to compel the performance of a ministerial duty, and 'Santa Clara County Counsel Atty’s Assn v. Woodside' to argue that mandamus is the proper remedy when a public agency refuses to perform acts required by law (p. 8, 16, 22). Hall interprets the statutory rules of section 1085 as establishing two essential requirements for the issuance of an ordinary writ: a clear, present, and ministerial duty on the part of the respondent, and a clear and beneficial right on the part of the petitioner to the performance of that duty (p. 22). He further defines a 'ministerial act' under this section as one performed in a prescribed manner in obedience to legal authority without regard to the officer's own judgment (p. 22).</w:t>
      </w:r>
    </w:p>
    <w:p>
      <w:pPr>
        <w:spacing w:before="240" w:after="240"/>
      </w:pPr>
      <w:r>
        <w:rPr>
          <w:b/>
          <w:i/>
          <w:color w:val="3A0517"/>
        </w:rPr>
        <w:t>Accuracy Review</w:t>
      </w:r>
    </w:p>
    <w:p>
      <w:pPr>
        <w:spacing w:before="0" w:after="0"/>
      </w:pPr>
      <w:r>
        <w:t>The citation of CCP 1085 in the document constitutes a contextual overextension and a technical misapplication. While Hall correctly identifies the general purpose of a writ of mandate—to compel a ministerial duty—he ignores the specific statutory limitation in CCP 1085(a) that the writ must be directed to an 'inferior tribunal.' Hall's argument that the statute 'does not explicitly prohibit' a superior court from issuing a writ against itself is a mischaracterization of the law; the requirement of an 'inferior' target is an affirmative jurisdictional limit. In California, superior court judges are of equal jurisdiction, and one cannot mandate another under CCP 1085. Hall's reliance on the court's 'inherent power' and 'original jurisdiction' fails to address the procedural reality that the proper venue for a writ against a superior court judge is the appellate court, not the same superior court.</w:t>
      </w:r>
    </w:p>
    <w:p>
      <w:r>
        <w:br w:type="page"/>
      </w:r>
    </w:p>
    <w:p>
      <w:pPr>
        <w:spacing w:before="0" w:after="0"/>
      </w:pPr>
      <w:r/>
      <w:hyperlink w:anchor="significantissues">
        <w:r>
          <w:rPr/>
          <w:t xml:space="preserve">↑ Triage</w:t>
        </w:r>
      </w:hyperlink>
    </w:p>
    <w:p>
      <w:pPr>
        <w:pStyle w:val="Heading3"/>
      </w:pPr>
      <w:r>
        <w:bookmarkStart w:id="34" w:name="codeofcivilp27"/>
        <w:bookmarkEnd w:id="34" w:name="codeofcivilp27"/>
      </w:r>
      <w:r>
        <w:t>Code of Civil Procedure § 170.6</w:t>
      </w:r>
    </w:p>
    <w:p>
      <w:pPr>
        <w:spacing w:before="240" w:after="240"/>
      </w:pPr>
      <w:r>
        <w:rPr>
          <w:b/>
          <w:i/>
          <w:color w:val="3A0517"/>
        </w:rPr>
        <w:t>Use of Citation</w:t>
      </w:r>
      <w:r>
        <w:t xml:space="preserve"> 🔴</w:t>
      </w:r>
    </w:p>
    <w:p>
      <w:pPr>
        <w:spacing w:before="0" w:after="0"/>
      </w:pPr>
      <w:r>
        <w:t>The document cites CA Code of Civil Procedure section 170.6 as part of a broader legal framework, alongside sections 170.3(c)(1) and 170.4, to support the appellant's 'challenge for cause' against Judge Christopher Krueger (p. 9, 27, 31). The primary proposition of law supported by this citation is that a judicial officer must be disqualified when they demonstrate bias or prejudice that prevents a fair and impartial hearing (p. 9, 31). Hall specifically uses CCP 170.6 to argue that the trial court erred in denying his disqualification motion after Judge Krueger allegedly failed to perform 'Ministerial Duties' and ignored evidence regarding Hall's compliance with the Government Claims Act (p. 9, 27). Hall employs analogical reasoning by linking the statutory requirements of CCP 170.6 to constitutional mandates, asserting that the judge's failure to follow the law—specifically Government Code section 946.6—violated his 'Constitutional Right to a Fair and Impartial Hearing' under Article I, Section 16 of the California Constitution (p. 9, 31). He further cites 'Lightfoot v. Superior Court' (1991) to establish that a judge's failure to follow the law is a valid ground for a challenge and 'Baird v. Superior Court' (1990) to argue that bias can be inferred from a judge's actions (p. 31). Hall interprets the statutory rules of CCP 170.6 as providing a mechanism where the 'adequate remedy' for an erroneous denial of a disqualification challenge is a 'Writ of Mandate' rather than a direct appeal (p. 27). He contends that the judge's conduct created an 'appearance of bias' and that the court's refusal to disqualify the judge was a 'Conflict of Interest' that prejudiced his ability to receive a fair trial (p. 27, 34).</w:t>
      </w:r>
    </w:p>
    <w:p>
      <w:pPr>
        <w:spacing w:before="240" w:after="240"/>
      </w:pPr>
      <w:r>
        <w:rPr>
          <w:b/>
          <w:i/>
          <w:color w:val="3A0517"/>
        </w:rPr>
        <w:t>Accuracy Review</w:t>
      </w:r>
    </w:p>
    <w:p>
      <w:pPr>
        <w:spacing w:before="0" w:after="0"/>
      </w:pPr>
      <w:r>
        <w:t>The citation to CCP 170.6 in the brief involves a clear mischaracterization and procedural misapplication. First, Hall technically misapplies the statute by labeling it a 'challenge for cause' (p. 9, 27, 31), whereas CCP 170.6 is strictly for peremptory challenges that do not require a showing of cause. Second, Hall attempts a contextual overextension by using the statute to challenge a judge's bias based on legal rulings made during a hearing on a late claim petition. CCP 170.6(a)(2) expressly prohibits the use of a peremptory challenge once the judge has 'acted in connection with... a hearing, proceeding, or motion prior to trial' involving 'contested fact issues relating to the merits.' Since Hall's challenge was filed on November 21, 2022 (p. 28), following the November 9 hearing and tentative ruling, the challenge was procedurally barred under the statute's own terms. While Hall correctly identifies that a writ of mandate is the proper vehicle to review disqualification issues under the broader framework of CCP 170.3(d), his reliance on 170.6 to remedy alleged bias manifested in a past ruling is a fundamental misunderstanding of the peremptory challenge's purpose and timing requirements.</w:t>
      </w:r>
    </w:p>
    <w:p>
      <w:r>
        <w:br w:type="page"/>
      </w:r>
    </w:p>
    <w:p>
      <w:pPr>
        <w:spacing w:before="0" w:after="0"/>
      </w:pPr>
      <w:r/>
      <w:hyperlink w:anchor="significantissues">
        <w:r>
          <w:rPr/>
          <w:t xml:space="preserve">↑ Triage</w:t>
        </w:r>
      </w:hyperlink>
    </w:p>
    <w:p>
      <w:pPr>
        <w:pStyle w:val="Heading3"/>
      </w:pPr>
      <w:r>
        <w:bookmarkStart w:id="35" w:name="42usc1983"/>
        <w:bookmarkEnd w:id="35" w:name="42usc1983"/>
      </w:r>
      <w:r>
        <w:t>42 U.S.C. § 1983</w:t>
      </w:r>
    </w:p>
    <w:p>
      <w:pPr>
        <w:spacing w:before="240" w:after="240"/>
      </w:pPr>
      <w:r>
        <w:rPr>
          <w:b/>
          <w:i/>
          <w:color w:val="3A0517"/>
        </w:rPr>
        <w:t>Use of Citation</w:t>
      </w:r>
      <w:r>
        <w:t xml:space="preserve"> 🔴</w:t>
      </w:r>
    </w:p>
    <w:p>
      <w:pPr>
        <w:spacing w:before="0" w:after="0"/>
      </w:pPr>
      <w:r>
        <w:t>The document cites 42 U.S.C. § 1983 as the federal statutory basis for the appellant's underlying civil rights lawsuit against the Sacramento County Sheriff's Department and Officer Black (p. 7, 12). The statute is used to support the proposition that a litigant is entitled to a 'Redress of Grievances' for 'Constitutional and Civil Rights Violations' (p. 25). Hall specifically alleges that his false arrest, imprisonment, and malicious prosecution by law enforcement officers constitute actionable violations under this section (p. 6, 10). The precise context of the citation relates to Hall's attempt to overcome procedural hurdles in the state court; he argues that the trial court's refusal to grant relief from the Government Claims Act 'effectively foreclosed his ability to pursue' these federal civil rights claims (p. 7). Hall employs analogical reasoning by connecting the trial court's 'Ministerial Duty' to accept evidence under state law (Government Code section 911.5(b)) to the protection of his federal due process rights under the 14th Amendment (p. 14, 23). He suggests that the state's procedural requirements must not be used to 'thwart' a petitioner's access to justice for federal claims (p. 7, 34). The document interprets § 1983 as a mechanism to hold 'Government Officials' accountable when they act 'under the color of law' in violation of 'clearly established laws' (p. 29).</w:t>
      </w:r>
    </w:p>
    <w:p>
      <w:pPr>
        <w:spacing w:before="240" w:after="240"/>
      </w:pPr>
      <w:r>
        <w:rPr>
          <w:b/>
          <w:i/>
          <w:color w:val="3A0517"/>
        </w:rPr>
        <w:t>Accuracy Review</w:t>
      </w:r>
    </w:p>
    <w:p>
      <w:pPr>
        <w:spacing w:before="0" w:after="0"/>
      </w:pPr>
      <w:r>
        <w:t>The citation to 42 U.S.C. § 1983 in the document contains several layers of misapplication. First, there is a technical error in the citation itself; Hall cites '42 U.S.C. § 1983(5)', but § 1983 is a single-paragraph statute without a subsection (5). Second, the document demonstrates a fundamental misunderstanding of the statute's relationship with state law. Hall is appealing the denial of relief from the California Government Claims Act specifically to pursue his § 1983 claims, yet federal civil rights claims are not legally required to comply with state claim-presentation procedures. By treating the state procedural hurdle as a prerequisite for his federal claim, Hall overextends the authority of state procedural law over federal substantive rights. Finally, the application is incomplete because it ignores the specific proviso in § 1983 regarding judicial officers, which restricts the availability of injunctive relief for acts taken in a judicial capacity—a crucial limitation given that Hall is seeking a Writ of Mandate against the court and its judges.</w:t>
      </w:r>
    </w:p>
    <w:p>
      <w:r>
        <w:br w:type="page"/>
      </w:r>
    </w:p>
    <w:p>
      <w:pPr>
        <w:spacing w:before="0" w:after="0"/>
      </w:pPr>
      <w:r/>
      <w:hyperlink w:anchor="significantissues">
        <w:r>
          <w:rPr/>
          <w:t xml:space="preserve">↑ Triage</w:t>
        </w:r>
      </w:hyperlink>
    </w:p>
    <w:p>
      <w:pPr>
        <w:pStyle w:val="Heading3"/>
      </w:pPr>
      <w:r>
        <w:bookmarkStart w:id="36" w:name="codeofcivilp29"/>
        <w:bookmarkEnd w:id="36" w:name="codeofcivilp29"/>
      </w:r>
      <w:r>
        <w:t>Code of Civil Procedure § 1005</w:t>
      </w:r>
    </w:p>
    <w:p>
      <w:pPr>
        <w:spacing w:before="240" w:after="240"/>
      </w:pPr>
      <w:r>
        <w:rPr>
          <w:b/>
          <w:i/>
          <w:color w:val="3A0517"/>
        </w:rPr>
        <w:t>Use of Citation</w:t>
      </w:r>
      <w:r>
        <w:t xml:space="preserve"> 🔴</w:t>
      </w:r>
    </w:p>
    <w:p>
      <w:pPr>
        <w:spacing w:before="0" w:after="0"/>
      </w:pPr>
      <w:r>
        <w:t>The document cites CA Code of Civil Procedure section 1005, specifically subdivision (b), to support the proposition that the trial court's refusal to accept and consider attachments to a late claim petition lacked any statutory or case law authority (p. 14). Hall uses this citation to argue that the trial court's actions were not grounded in the established procedural rules governing the filing and service of motions and supporting papers. In the context of the matter, Hall contends that during the hearing for his 'Petition for Relief from Late Filing of Government Claim' in related Case No. 34-2022-00322068, Judge Krueger refused to accept a stamped claim form and other attachments that Hall attempted to present (p. 14, 23). Hall employs analogical reasoning by contrasting the lack of authority in CCP section 1005 for rejecting such evidence with the affirmative duty found in other authorities; specifically, he cites Estate of Sanders (1959) 167 Cal.App.2d 157, 161, for the rule that a court 'must receive and consider evidence which is relevant and material to the issues presented' (p. 14). Furthermore, he points to Government Code section 911.5(b) and County of Sacramento v. Superior Court (2014) 232 Cal.App.4th 305, which he interprets as explicitly requiring a trial court to consider attachments to a late claim petition (p. 15). By citing CCP section 1005, subd(b) alongside California Rules of Court 3.1300-3.1306, Hall interprets these statutory rules as the proper procedural framework for motion practice, asserting that because these rules do not authorize the exclusion of relevant attachments, the court's decision to do so was arbitrary, capricious, and a violation of due process (p. 14-15).</w:t>
      </w:r>
    </w:p>
    <w:p>
      <w:pPr>
        <w:spacing w:before="240" w:after="240"/>
      </w:pPr>
      <w:r>
        <w:rPr>
          <w:b/>
          <w:i/>
          <w:color w:val="3A0517"/>
        </w:rPr>
        <w:t>Accuracy Review</w:t>
      </w:r>
    </w:p>
    <w:p>
      <w:pPr>
        <w:spacing w:before="0" w:after="0"/>
      </w:pPr>
      <w:r>
        <w:t>The citation to CA Code of Civil Procedure section 1005(b) in the brief is a contextual overextension and a technical misapplication. Hall cites the statute to argue that the trial court lacked 'statutory or case law authority' to refuse his late-presented attachments. However, CCP 1005(b) actually provides the affirmative authority for a court to exclude such evidence, as it mandates that 'all moving and supporting papers shall be served and filed at least 16 court days before the hearing.' By Hall's own admission, the evidence was not attached to the timely filed petition; therefore, he failed to comply with the very procedural framework he cites. He attempts to interpret a statute designed to ensure advance notice and orderly filing as a prohibition against a judge's discretion to reject non-compliant, late-proffered documents. Furthermore, his reliance on the absence of an explicit 'rejection clause' within CCP 1005 ignores the standard application of motion practice where documents not served in accordance with the 16-day rule are routinely excluded to prevent prejudice to the opposing party.</w:t>
      </w:r>
    </w:p>
    <w:p>
      <w:r>
        <w:br w:type="page"/>
      </w:r>
    </w:p>
    <w:p>
      <w:pPr>
        <w:spacing w:before="0" w:after="0"/>
      </w:pPr>
      <w:r/>
      <w:hyperlink w:anchor="significantissues">
        <w:r>
          <w:rPr/>
          <w:t xml:space="preserve">↑ Triage</w:t>
        </w:r>
      </w:hyperlink>
    </w:p>
    <w:p>
      <w:pPr>
        <w:pStyle w:val="Heading3"/>
      </w:pPr>
      <w:r>
        <w:bookmarkStart w:id="37" w:name="governmentcode9124"/>
        <w:bookmarkEnd w:id="37" w:name="governmentcode9124"/>
      </w:r>
      <w:r>
        <w:t>Government Code § 912.4</w:t>
      </w:r>
    </w:p>
    <w:p>
      <w:pPr>
        <w:spacing w:before="240" w:after="240"/>
      </w:pPr>
      <w:r>
        <w:rPr>
          <w:b/>
          <w:i/>
          <w:color w:val="3A0517"/>
        </w:rPr>
        <w:t>Use of Citation</w:t>
      </w:r>
      <w:r>
        <w:t xml:space="preserve"> 🔴</w:t>
      </w:r>
    </w:p>
    <w:p>
      <w:pPr>
        <w:spacing w:before="0" w:after="0"/>
      </w:pPr>
      <w:r>
        <w:t>In the document, CA Government Code section 912.4 is cited to support the proposition that compliance with the filing requirements of the Tort Claims Act entitles a petitioner to a "determination on the merits of his claim" (p. 26). The citation appears in Argument 4, where the appellant, Anthony Jama Hall, argues that the trial court committed an error by refusing to accept evidence—specifically a stamped claim form—that would prove he timely filed his government claim on December 28, 2020 (p. 26). Hall employs analogical reasoning to link his compliance with the filing deadlines in Government Code section 911.2 to a mandatory right under section 912.4 to have the substance of his claim addressed (p. 26). He interprets the statutory rules of section 912.4 as creating an entitlement to a merits-based determination once the procedural filing requirements are satisfied. This argument is further supported by citations to Mantonya v. County of Los Angeles (2019) and Code of Civil Procedure section 2040, which Hall uses to assert that the court's refusal to accept his evidence constituted an abuse of discretion that deprived him of the fair hearing contemplated by the Government Claims Act (p. 26).</w:t>
      </w:r>
    </w:p>
    <w:p>
      <w:pPr>
        <w:spacing w:before="240" w:after="240"/>
      </w:pPr>
      <w:r>
        <w:rPr>
          <w:b/>
          <w:i/>
          <w:color w:val="3A0517"/>
        </w:rPr>
        <w:t>Accuracy Review</w:t>
      </w:r>
    </w:p>
    <w:p>
      <w:pPr>
        <w:spacing w:before="0" w:after="0"/>
      </w:pPr>
      <w:r>
        <w:t>The citation to Government Code section 912.4 in the document is a clear misapplication and contextual overextension. First, Hall mischaracterizes the legal effect of the statute; section 912.4 does not grant a claimant a right to a 'determination on the merits.' Instead, subsection (c) explicitly states that if a board fails to act, the claim is 'deemed to have been rejected,' which is a procedural mechanism to allow the claimant to proceed to court, not a substantive ruling on the claim's validity. Second, Hall overextends the statute's reach by applying it to the trial court's duty to accept evidence. Section 912.4 defines the duties of a public entity's 'board' (the respondent agency), not the 'court.' Hall attempts to use an administrative timeline statute to create a ministerial duty for a judge to admit evidence in a section 946.6 proceeding, which is beyond the intended factual and procedural boundaries of section 912.4. By omitting the 'deemed rejection' limitation in subsection (c), the citation presents an incomplete and distorted view of the statutory framework.</w:t>
      </w:r>
    </w:p>
    <w:p>
      <w:r>
        <w:br w:type="page"/>
      </w:r>
    </w:p>
    <w:p>
      <w:pPr>
        <w:spacing w:before="0" w:after="0"/>
      </w:pPr>
      <w:r/>
      <w:hyperlink w:anchor="significantissues">
        <w:r>
          <w:rPr/>
          <w:t xml:space="preserve">↑ Triage</w:t>
        </w:r>
      </w:hyperlink>
    </w:p>
    <w:p>
      <w:pPr>
        <w:pStyle w:val="Heading3"/>
      </w:pPr>
      <w:r>
        <w:bookmarkStart w:id="38" w:name="governmentcode9112"/>
        <w:bookmarkEnd w:id="38" w:name="governmentcode9112"/>
      </w:r>
      <w:r>
        <w:t>Government Code § 911.2</w:t>
      </w:r>
    </w:p>
    <w:p>
      <w:pPr>
        <w:spacing w:before="240" w:after="240"/>
      </w:pPr>
      <w:r>
        <w:rPr>
          <w:b/>
          <w:i/>
          <w:color w:val="3A0517"/>
        </w:rPr>
        <w:t>Use of Citation</w:t>
      </w:r>
      <w:r>
        <w:t xml:space="preserve"> 🔴</w:t>
      </w:r>
    </w:p>
    <w:p>
      <w:pPr>
        <w:spacing w:before="0" w:after="0"/>
      </w:pPr>
      <w:r>
        <w:t>The APPELLANT Hall, Anthony Jama OPENING BRIEF On The MERITS cites CA Government Code section 911.2 to support the proposition that the petitioner-plaintiff complied with the mandatory filing requirements of the Government Claims Act (p. 26). Specifically, the statute is used to establish the legal standard for what constitutes a "timely filed" claim against a public entity (p. 26). In the context of this matter, Hall uses the citation to argue that his claim, received by the County of Sacramento Board of Supervisors on December 28, 2020, met the necessary statutory deadlines (p. 26). This is central to his broader argument that the trial court abused its discretion by denying him relief from the Tort Claims Act (p. 25-26). Hall employs analogical reasoning by linking the accrual date of his cause of action—the dismissal of criminal charges on February 28, 2020 (p. 6, 30)—to the filing date of his claim. He argues that although he missed the initial six-month window, he remained within the one-year jurisdictional limit for seeking relief (p. 30). To support this, he cites Government Code section 911.2 in conjunction with section 912.4 to assert his right to a merit-based determination (p. 26). The document interprets the statutory rules of CA Government Code section 911.2 as defining the "filing requirements" that a petitioner must satisfy to maintain a cause of action against a government body (p. 26). It serves as the benchmark for determining whether a claim was presented to the appropriate board within the legally mandated timeframe (p. 26).</w:t>
      </w:r>
    </w:p>
    <w:p>
      <w:pPr>
        <w:spacing w:before="240" w:after="240"/>
      </w:pPr>
      <w:r>
        <w:rPr>
          <w:b/>
          <w:i/>
          <w:color w:val="3A0517"/>
        </w:rPr>
        <w:t>Accuracy Review</w:t>
      </w:r>
    </w:p>
    <w:p>
      <w:pPr>
        <w:spacing w:before="0" w:after="0"/>
      </w:pPr>
      <w:r>
        <w:t>Hall’s citation of CA Government Code section 911.2 involves a clear technical misapplication and contextual overextension. He asserts that he 'complied' with the Tort Claims Act and that his claim was 'timely filed' because it was received within one year of the accrual date (p. 26). However, section 911.2(a) explicitly mandates a six-month deadline for claims involving injury to person or personal property. By filing ten months after the accrual date (February to December 2020), Hall actually failed to comply with the timing requirements of section 911.2. He appears to be conflating the catch-all one-year deadline for non-tort claims found in 911.2(a) with the six-month deadline applicable to his specific grievances. Furthermore, he confuses the jurisdictional limit for seeking 'late claim relief' (which is one year under section 911.4) with the definition of a 'timely' presentation under 911.2. Claiming compliance with 911.2 while simultaneously petitioning for relief from that very statute's deadlines is a legal contradiction that mischaracterizes the statute's operation.</w:t>
      </w:r>
    </w:p>
    <w:p>
      <w:r>
        <w:br w:type="page"/>
      </w:r>
    </w:p>
    <w:p>
      <w:pPr>
        <w:spacing w:before="0" w:after="0"/>
      </w:pPr>
      <w:r/>
      <w:hyperlink w:anchor="minorissues">
        <w:r>
          <w:rPr/>
          <w:t xml:space="preserve">↑ Triage</w:t>
        </w:r>
      </w:hyperlink>
    </w:p>
    <w:p>
      <w:pPr>
        <w:pStyle w:val="Heading3"/>
      </w:pPr>
      <w:r>
        <w:bookmarkStart w:id="39" w:name="walkervsuper32"/>
        <w:bookmarkEnd w:id="39" w:name="walkervsuper32"/>
      </w:r>
      <w:r>
        <w:t>Walker v. Superior Court 53 Cal.3d 257</w:t>
      </w:r>
    </w:p>
    <w:p>
      <w:pPr>
        <w:spacing w:before="240" w:after="240"/>
      </w:pPr>
      <w:r>
        <w:rPr>
          <w:b/>
          <w:i/>
          <w:color w:val="3A0517"/>
        </w:rPr>
        <w:t>Use of Citation</w:t>
      </w:r>
      <w:r>
        <w:t xml:space="preserve"> 🟡</w:t>
      </w:r>
    </w:p>
    <w:p>
      <w:pPr>
        <w:spacing w:before="0" w:after="0"/>
      </w:pPr>
      <w:r>
        <w:t>In the Opening Brief, Hall cites Walker v. Superior Court, (1991) 53 Cal. 3d 257 to support the legal rule that superior courts in California are courts of general jurisdiction with residual authority over all original jurisdiction not specifically delegated to other trial courts (p. 17). The citation appears within Argument 2, where Hall challenges Judge James P. Arguelles's ruling that the Sacramento Superior Court lacked jurisdiction to issue a writ of mandate against itself (p. 16). Hall uses Walker to establish the broad scope of the superior court's original jurisdiction, which includes extraordinary relief such as mandamus, as granted by Article VI, section 10 of the California Constitution (p. 17). The brief interprets Walker as affirming that superior courts possess the inherent power to ensure justice is served through their general and residual jurisdiction (p. 16-17). Hall applies this concept by arguing that because the superior court has such broad original jurisdiction, it was an error of law for the trial court to claim it lacked the power or authority to issue a writ of mandate in this specific proceeding (p. 16, 18).</w:t>
      </w:r>
    </w:p>
    <w:p>
      <w:pPr>
        <w:spacing w:before="240" w:after="240"/>
      </w:pPr>
      <w:r>
        <w:rPr>
          <w:b/>
          <w:i/>
          <w:color w:val="3A0517"/>
        </w:rPr>
        <w:t>Accuracy Review</w:t>
      </w:r>
    </w:p>
    <w:p>
      <w:pPr>
        <w:spacing w:before="0" w:after="0"/>
      </w:pPr>
      <w:r>
        <w:t>The citation to Walker v. Superior Court in Hall's brief is a contextual overextension. Hall accurately quotes the general principle found on page 264 of Walker regarding the superior court's original and residual jurisdiction under Article VI, section 10 of the California Constitution. However, he applies this broad definition of jurisdiction to argue that a superior court has the authority to issue a writ of mandate against itself—a specific procedural issue that Walker does not address. Walker's analysis is focused on the statutory interpretation of CCP 396 and the inherent power of a court to determine if a case meets the monetary threshold for superior court jurisdiction. By using a case about jurisdictional transfers to justify a self-referential writ of mandate, Hall ignores the doctrinal boundary that mandamus is typically directed at an 'inferior tribunal' or a public official. Furthermore, Hall cites page 279 of Walker, which is part of a dissenting opinion, without identifying it as such, which is technically misleading. While the general legal principle of residual jurisdiction is correctly stated, its application to the specific controversy of 'intra-court' writs is unsupported by the cited authority.</w:t>
      </w:r>
    </w:p>
    <w:p>
      <w:pPr>
        <w:spacing w:before="240" w:after="240"/>
      </w:pPr>
      <w:r>
        <w:rPr>
          <w:b/>
          <w:i/>
          <w:color w:val="3A0517"/>
        </w:rPr>
        <w:t>Applicable Negative Treatment</w:t>
      </w:r>
    </w:p>
    <w:p>
      <w:pPr>
        <w:spacing w:before="0" w:after="0"/>
      </w:pPr>
      <w:r>
        <w:rPr>
          <w:b/>
        </w:rPr>
        <w:t>1. Daily Journal Corp. v. Superior Court, 20 Cal. 4th 1117:</w:t>
      </w:r>
      <w:r>
        <w:t xml:space="preserve"> This case distinguishes and limits the "inherent power" doctrine discussed in </w:t>
      </w:r>
      <w:r>
        <w:rPr>
          <w:i/>
        </w:rPr>
        <w:t>Walker</w:t>
      </w:r>
      <w:r>
        <w:t xml:space="preserve">, clarifying that a court's inherent authority to control its procedures cannot be used to circumvent or expand specific statutory schemes. This limits Hall's application of </w:t>
      </w:r>
      <w:r>
        <w:rPr>
          <w:i/>
        </w:rPr>
        <w:t>Walker</w:t>
      </w:r>
      <w:r>
        <w:t xml:space="preserve"> to argue that the superior court has the inherent power to issue a writ of mandate against itself, particularly where the statutory framework for mandamus (Code Civ. Proc., § 1085) generally contemplates an order directed to an "inferior tribunal."</w:t>
      </w:r>
    </w:p>
    <w:p>
      <w:pPr>
        <w:spacing w:before="0" w:after="0"/>
      </w:pPr>
      <w:r>
        <w:rPr>
          <w:b/>
        </w:rPr>
        <w:t>2. Le Francois v. Goel, 35 Cal. 4th 1094:</w:t>
      </w:r>
      <w:r>
        <w:t xml:space="preserve"> This case corrects a potential misapprehension of the "efficiency" standard articulated in </w:t>
      </w:r>
      <w:r>
        <w:rPr>
          <w:i/>
        </w:rPr>
        <w:t>Walker</w:t>
      </w:r>
      <w:r>
        <w:t xml:space="preserve">. It clarifies that the Legislature may regulate court operations as long as the regulations do not "materially impair" the court's constitutional functions, rejecting the notion that statutes are unconstitutional simply because they might make a court less "efficient." This limits Hall's reliance on </w:t>
      </w:r>
      <w:r>
        <w:rPr>
          <w:i/>
        </w:rPr>
        <w:t>Walker</w:t>
      </w:r>
      <w:r>
        <w:t xml:space="preserve"> to justify the court's jurisdiction based on the constitutional requirement for "prompt and efficient enforcement" of judgments.</w:t>
      </w:r>
    </w:p>
    <w:p>
      <w:pPr>
        <w:spacing w:before="240" w:after="240"/>
      </w:pPr>
      <w:r>
        <w:rPr>
          <w:b/>
          <w:i/>
          <w:color w:val="3A0517"/>
        </w:rPr>
        <w:t>Other Relevant Precedence</w:t>
      </w:r>
    </w:p>
    <w:p>
      <w:pPr>
        <w:spacing w:before="0" w:after="0"/>
      </w:pPr>
      <w:r>
        <w:rPr>
          <w:b/>
        </w:rPr>
        <w:t>1. Brown v. Desert Christian Center, 193 Cal. App. 4th 733:</w:t>
      </w:r>
      <w:r>
        <w:t xml:space="preserve"> Cites </w:t>
      </w:r>
      <w:r>
        <w:rPr>
          <w:i/>
        </w:rPr>
        <w:t>Walker</w:t>
      </w:r>
      <w:r>
        <w:t xml:space="preserve"> to support the principle that a court has inherent authority to inquire into its own jurisdiction, which is directly relevant to Hall's challenge of the trial court's ruling that it lacked jurisdiction to issue a writ against itself.</w:t>
      </w:r>
    </w:p>
    <w:p>
      <w:pPr>
        <w:spacing w:before="0" w:after="0"/>
      </w:pPr>
      <w:r>
        <w:rPr>
          <w:b/>
        </w:rPr>
        <w:t>2. Stephen Slesinger, Inc. v. Walt Disney Co., 155 Cal. App. 4th 736:</w:t>
      </w:r>
      <w:r>
        <w:t xml:space="preserve"> Cites </w:t>
      </w:r>
      <w:r>
        <w:rPr>
          <w:i/>
        </w:rPr>
        <w:t>Walker</w:t>
      </w:r>
      <w:r>
        <w:t xml:space="preserve"> to establish that a court's inherent power is derived from the California Constitution and is not confined by or dependent on statute, supporting Hall's argument that the court's authority exists regardless of whether Code of Civil Procedure section 1085 explicitly authorizes a writ against itself.</w:t>
      </w:r>
    </w:p>
    <w:p>
      <w:pPr>
        <w:spacing w:before="0" w:after="0"/>
      </w:pPr>
      <w:r>
        <w:rPr>
          <w:b/>
        </w:rPr>
        <w:t>3. California Redevelopment Ass'n v. Matosantos, 53 Cal. 4th 231:</w:t>
      </w:r>
      <w:r>
        <w:t xml:space="preserve"> Cites </w:t>
      </w:r>
      <w:r>
        <w:rPr>
          <w:i/>
        </w:rPr>
        <w:t>Walker</w:t>
      </w:r>
      <w:r>
        <w:t xml:space="preserve"> to affirm the court's independent obligation to confirm its own jurisdiction, which is the specific judicial action Hall is contesting in his appeal of the dismissal.</w:t>
      </w:r>
    </w:p>
    <w:p>
      <w:pPr>
        <w:spacing w:before="0" w:after="0"/>
      </w:pPr>
      <w:r>
        <w:rPr>
          <w:b/>
        </w:rPr>
        <w:t>4. Department of Social Services v. Armando S., 15 Cal. App. 4th 1260:</w:t>
      </w:r>
      <w:r>
        <w:t xml:space="preserve"> Cites </w:t>
      </w:r>
      <w:r>
        <w:rPr>
          <w:i/>
        </w:rPr>
        <w:t>Walker</w:t>
      </w:r>
      <w:r>
        <w:t xml:space="preserve"> to reinforce that inherent powers are derived from article VI, section 1 of the California Constitution and are not dependent on statute, bolstering Hall's constitutional argument regarding the source of the court's authority.</w:t>
      </w:r>
    </w:p>
    <w:p>
      <w:pPr>
        <w:spacing w:before="0" w:after="0"/>
      </w:pPr>
      <w:r>
        <w:rPr>
          <w:b/>
        </w:rPr>
        <w:t>5. People v. Zarazua, 179 Cal. App. 4th 1054:</w:t>
      </w:r>
      <w:r>
        <w:t xml:space="preserve"> Cites </w:t>
      </w:r>
      <w:r>
        <w:rPr>
          <w:i/>
        </w:rPr>
        <w:t>Walker</w:t>
      </w:r>
      <w:r>
        <w:t xml:space="preserve"> to support the principle that courts have inherent authority to inquire into their own jurisdiction, providing additional weight to Hall's claim that the trial court erred in its jurisdictional self-assessment.</w:t>
      </w:r>
    </w:p>
    <w:p>
      <w:r>
        <w:br w:type="page"/>
      </w:r>
    </w:p>
    <w:p>
      <w:pPr>
        <w:spacing w:before="0" w:after="0"/>
      </w:pPr>
      <w:r/>
      <w:hyperlink w:anchor="minorissues">
        <w:r>
          <w:rPr/>
          <w:t xml:space="preserve">↑ Triage</w:t>
        </w:r>
      </w:hyperlink>
    </w:p>
    <w:p>
      <w:pPr>
        <w:pStyle w:val="Heading3"/>
      </w:pPr>
      <w:r>
        <w:bookmarkStart w:id="40" w:name="fuentesvshev33"/>
        <w:bookmarkEnd w:id="40" w:name="fuentesvshev33"/>
      </w:r>
      <w:r>
        <w:t>Fuentes v. Shevin 407 U.S. 67</w:t>
      </w:r>
    </w:p>
    <w:p>
      <w:pPr>
        <w:spacing w:before="240" w:after="240"/>
      </w:pPr>
      <w:r>
        <w:rPr>
          <w:b/>
          <w:i/>
          <w:color w:val="3A0517"/>
        </w:rPr>
        <w:t>Use of Citation</w:t>
      </w:r>
      <w:r>
        <w:t xml:space="preserve"> 🟡</w:t>
      </w:r>
    </w:p>
    <w:p>
      <w:pPr>
        <w:spacing w:before="0" w:after="0"/>
      </w:pPr>
      <w:r>
        <w:t>Hall cites Fuentes v. Shevin to establish the constitutional baseline for procedural due process. Specifically, he uses it to support the rule that the Due Process Clause of the Fourteenth Amendment requires notice and an opportunity to be heard before a state can deprive an individual of property (p. 14). In the context of his appeal, Hall argues that the trial court's refusal to accept his evidence, specifically attachments to a late claim petition, was not just an abuse of discretion but a constitutional violation (p. 14-15). He interprets the meaningful opportunity to present his case mentioned in Fuentes as a requirement for the court to receive and consider relevant evidence (p. 15). Hall directly applies this by asserting that the court's arbitrary rejection of his stamped claim form denied him the essential requirement of being heard, thereby violating the fundamental procedural safeguards mandated by the High Court (p. 15).</w:t>
      </w:r>
    </w:p>
    <w:p>
      <w:pPr>
        <w:spacing w:before="240" w:after="240"/>
      </w:pPr>
      <w:r>
        <w:rPr>
          <w:b/>
          <w:i/>
          <w:color w:val="3A0517"/>
        </w:rPr>
        <w:t>Accuracy Review</w:t>
      </w:r>
    </w:p>
    <w:p>
      <w:pPr>
        <w:spacing w:before="0" w:after="0"/>
      </w:pPr>
      <w:r>
        <w:t>The citation to Fuentes v. Shevin in Hall's brief is a contextual overextension. While Hall accurately states the general constitutional principle from Fuentes—that due process requires notice and an opportunity to be heard—he applies it to a procedural evidentiary ruling in a manner that stretches the original holding. Fuentes specifically addressed the summary physical seizure of property (replevin) by state agents without any prior judicial involvement. In contrast, Hall's situation involves a trial court's refusal to accept specific attachments during a scheduled hearing for a 'Petition for Relief from Late Filing of Government Claim.' While the refusal to consider evidence may constitute an abuse of discretion or a violation of statutory duties (such as Gov. Code § 911.5(b)), it is not the same type of 'deprivation of property' without notice that Fuentes addressed. Hall attempts to elevate a standard evidentiary dispute into a fundamental Fourteenth Amendment violation by using the broad language of Fuentes. Furthermore, the citation involves an incomplete application because it ignores the 'extraordinary situations' exception and the specific context of prejudgment remedies that defined the Fuentes decision. The outcome alignment is also problematic; applying the strict pre-deprivation hearing requirements of Fuentes to every minor evidentiary ruling in a civil motion would result in an unworkable procedural standard.</w:t>
      </w:r>
    </w:p>
    <w:p>
      <w:pPr>
        <w:spacing w:before="240" w:after="240"/>
      </w:pPr>
      <w:r>
        <w:rPr>
          <w:b/>
          <w:i/>
          <w:color w:val="3A0517"/>
        </w:rPr>
        <w:t>Use of Quotes</w:t>
      </w:r>
      <w:r>
        <w:bookmarkStart w:id="41" w:name="fuentesvshev34"/>
        <w:bookmarkEnd w:id="41" w:name="fuentesvshev34"/>
      </w:r>
    </w:p>
    <w:p>
      <w:pPr>
        <w:spacing w:before="240" w:after="240"/>
      </w:pPr>
      <w:r>
        <w:t xml:space="preserve">🔴 </w:t>
      </w:r>
      <w:r>
        <w:rPr>
          <w:b/>
          <w:i/>
          <w:color w:val="3A0517"/>
        </w:rPr>
        <w:t>Quote 1 - (Fuentes v. Shevin (1972) 407 U.S. 67, 80.)</w:t>
      </w:r>
    </w:p>
    <w:p>
      <w:pPr>
        <w:pStyle w:val="Quote"/>
      </w:pPr>
      <w:r>
        <w:t>due process requires that a party be given a meaningful opportunity to present his case.</w:t>
      </w:r>
    </w:p>
    <w:p>
      <w:pPr>
        <w:spacing w:before="0" w:after="0"/>
      </w:pPr>
      <w:r>
        <w:t>The quote 'due process requires that a party be given a meaningful opportunity to present his case' does not appear verbatim in Fuentes v. Shevin. While the court discusses the requirement that a hearing be granted at a 'meaningful time and in a meaningful manner' (citing Armstrong v. Manzo), the specific phrasing used by Hall is a paraphrase rather than a direct quote. It captures the essence of the court's reasoning but is technically inaccurate as a direct quotation.</w:t>
      </w:r>
    </w:p>
    <w:p>
      <w:pPr>
        <w:spacing w:before="240" w:after="240"/>
      </w:pPr>
      <w:r>
        <w:t xml:space="preserve">🟡 </w:t>
      </w:r>
      <w:r>
        <w:rPr>
          <w:b/>
          <w:i/>
          <w:color w:val="3A0517"/>
        </w:rPr>
        <w:t>Quote 1 - Fuentes v. Shevin (1972) 407 U.S. 67, 80-81</w:t>
      </w:r>
    </w:p>
    <w:p>
      <w:pPr>
        <w:pStyle w:val="Quote"/>
      </w:pPr>
      <w:r>
        <w:t>The Due Process Clause of the Fourteenth Amendment denies States the power to deprive anyone of life, liberty, or property without fundamental procedural safeguards... The opportunity to be heard is an essential requirement of due process.</w:t>
      </w:r>
    </w:p>
    <w:p>
      <w:pPr>
        <w:spacing w:before="0" w:after="0"/>
      </w:pPr>
      <w:r>
        <w:t>The quote 'The Due Process Clause of the Fourteenth Amendment denies States the power to deprive anyone of life, liberty, or property without fundamental procedural safeguards... The opportunity to be heard is an essential requirement of due process' actually exists in the text of Fuentes v. Shevin at pages 80-81. It is an accurate reproduction of the court's language and represents the core constitutional principle being discussed. However, it is contextually limited in Hall's brief because the 'procedural safeguards' in Fuentes were specifically about pre-seizure hearings, whereas Hall uses it to challenge a judge's refusal to look at a specific document during an existing hearing.</w:t>
      </w:r>
    </w:p>
    <w:p>
      <w:pPr>
        <w:spacing w:before="240" w:after="240"/>
      </w:pPr>
      <w:r>
        <w:rPr>
          <w:b/>
          <w:i/>
          <w:color w:val="3A0517"/>
        </w:rPr>
        <w:t>Applicable Negative Treatment</w:t>
      </w:r>
    </w:p>
    <w:p>
      <w:pPr>
        <w:spacing w:before="0" w:after="0"/>
      </w:pPr>
      <w:r>
        <w:rPr>
          <w:b/>
        </w:rPr>
        <w:t>1. Mitchell v. W. T. Grant Co., 416 U.S. 600:</w:t>
      </w:r>
      <w:r>
        <w:t xml:space="preserve"> This decision limited the broad requirement in </w:t>
      </w:r>
      <w:r>
        <w:rPr>
          <w:i/>
        </w:rPr>
        <w:t>Fuentes</w:t>
      </w:r>
      <w:r>
        <w:t xml:space="preserve"> for a pre-deprivation hearing by upholding a statute that allowed for prejudgment seizure without a prior hearing when judicial supervision and an immediate post-seizure hearing were provided.</w:t>
      </w:r>
    </w:p>
    <w:p>
      <w:pPr>
        <w:spacing w:before="0" w:after="0"/>
      </w:pPr>
      <w:r>
        <w:rPr>
          <w:b/>
        </w:rPr>
        <w:t>2. Connolly Development, Inc. v. Superior Court, 17 Cal. 3d 803:</w:t>
      </w:r>
      <w:r>
        <w:t xml:space="preserve"> The California Supreme Court explicitly stated that </w:t>
      </w:r>
      <w:r>
        <w:rPr>
          <w:i/>
        </w:rPr>
        <w:t>Mitchell</w:t>
      </w:r>
      <w:r>
        <w:t xml:space="preserve"> "severely limited the scope of </w:t>
      </w:r>
      <w:r>
        <w:rPr>
          <w:i/>
        </w:rPr>
        <w:t>Fuentes</w:t>
      </w:r>
      <w:r>
        <w:t>," moving away from the rule that a pre-seizure hearing is generally essential for any significant property deprivation.</w:t>
      </w:r>
    </w:p>
    <w:p>
      <w:pPr>
        <w:spacing w:before="0" w:after="0"/>
      </w:pPr>
      <w:r>
        <w:rPr>
          <w:b/>
        </w:rPr>
        <w:t>3. Skelly v. State Personnel Board, 15 Cal. 3d 194:</w:t>
      </w:r>
      <w:r>
        <w:t xml:space="preserve"> This court noted that the "rigid and mechanical" interpretation of due process in </w:t>
      </w:r>
      <w:r>
        <w:rPr>
          <w:i/>
        </w:rPr>
        <w:t>Fuentes</w:t>
      </w:r>
      <w:r>
        <w:t xml:space="preserve"> has been superseded by a more flexible balancing approach that does not require a trial-type hearing at the preliminary stage in every situation.</w:t>
      </w:r>
    </w:p>
    <w:p>
      <w:pPr>
        <w:spacing w:before="0" w:after="0"/>
      </w:pPr>
      <w:r>
        <w:rPr>
          <w:b/>
        </w:rPr>
        <w:t>4. Cansdale v. Board of Administration, 59 Cal. App. 3d 656:</w:t>
      </w:r>
      <w:r>
        <w:t xml:space="preserve"> This case suggests that the U.S. Supreme Court "abandoned" the strict principles of </w:t>
      </w:r>
      <w:r>
        <w:rPr>
          <w:i/>
        </w:rPr>
        <w:t>Fuentes</w:t>
      </w:r>
      <w:r>
        <w:t xml:space="preserve"> in favor of the balancing test established in </w:t>
      </w:r>
      <w:r>
        <w:rPr>
          <w:i/>
        </w:rPr>
        <w:t>Mathews v. Eldridge</w:t>
      </w:r>
      <w:r>
        <w:t>.</w:t>
      </w:r>
    </w:p>
    <w:p>
      <w:pPr>
        <w:spacing w:before="0" w:after="0"/>
      </w:pPr>
      <w:r>
        <w:rPr>
          <w:b/>
        </w:rPr>
        <w:t>5. Love v. City of Monterey, 37 Cal. App. 4th 562:</w:t>
      </w:r>
      <w:r>
        <w:t xml:space="preserve"> This decision explains that courts have retreated from the "rather rigid" analysis in </w:t>
      </w:r>
      <w:r>
        <w:rPr>
          <w:i/>
        </w:rPr>
        <w:t>Fuentes</w:t>
      </w:r>
      <w:r>
        <w:t>, adopting a balancing test to determine the timing and content of the required hearing based on competing interests.</w:t>
      </w:r>
    </w:p>
    <w:p>
      <w:pPr>
        <w:spacing w:before="240" w:after="240"/>
      </w:pPr>
      <w:r>
        <w:rPr>
          <w:b/>
          <w:i/>
          <w:color w:val="3A0517"/>
        </w:rPr>
        <w:t>Other Relevant Precedence</w:t>
      </w:r>
    </w:p>
    <w:p>
      <w:pPr>
        <w:spacing w:before="0" w:after="0"/>
      </w:pPr>
      <w:r>
        <w:rPr>
          <w:b/>
        </w:rPr>
        <w:t>1. Skelly v. State Personnel Board, 15 Cal. 3d 194:</w:t>
      </w:r>
      <w:r>
        <w:t xml:space="preserve"> This California Supreme Court case is the foundational state authority for procedural due process, establishing that significant deprivations of property interests must be preceded by notice and a hearing, and provides a jurisdictional match for the principles Hall draws from </w:t>
      </w:r>
      <w:r>
        <w:rPr>
          <w:i/>
        </w:rPr>
        <w:t>Fuentes</w:t>
      </w:r>
      <w:r>
        <w:t>.</w:t>
      </w:r>
    </w:p>
    <w:p>
      <w:pPr>
        <w:spacing w:before="0" w:after="0"/>
      </w:pPr>
      <w:r>
        <w:rPr>
          <w:b/>
        </w:rPr>
        <w:t>2. Payne v. Superior Court, 17 Cal. 3d 908:</w:t>
      </w:r>
      <w:r>
        <w:t xml:space="preserve"> This case reinforces the fundamental principle that individuals must have an opportunity to defend their property in court "at a meaningful time and in a meaningful manner," directly supporting Hall's argument that the trial court's refusal to consider his evidence denied him a fair hearing.</w:t>
      </w:r>
    </w:p>
    <w:p>
      <w:pPr>
        <w:spacing w:before="0" w:after="0"/>
      </w:pPr>
      <w:r>
        <w:rPr>
          <w:b/>
        </w:rPr>
        <w:t>3. Isbell v. County of Sonoma, 21 Cal. 3d 61:</w:t>
      </w:r>
      <w:r>
        <w:t xml:space="preserve"> The California Supreme Court cites </w:t>
      </w:r>
      <w:r>
        <w:rPr>
          <w:i/>
        </w:rPr>
        <w:t>Fuentes</w:t>
      </w:r>
      <w:r>
        <w:t xml:space="preserve"> to establish that, except in extraordinary circumstances, notice and a hearing are required before even a temporary deprivation of property, which is highly relevant to Hall's claim regarding the procedural requirements of the Government Claims Act.</w:t>
      </w:r>
    </w:p>
    <w:p>
      <w:pPr>
        <w:spacing w:before="0" w:after="0"/>
      </w:pPr>
      <w:r>
        <w:rPr>
          <w:b/>
        </w:rPr>
        <w:t>4. Katheryn S. v. Superior Court, 82 Cal. App. 4th 958:</w:t>
      </w:r>
      <w:r>
        <w:t xml:space="preserve"> This California Court of Appeal decision emphasizes that the right to notice and an opportunity to be heard must be granted in a "meaningful manner," providing a more localized precedent for Hall's contention that the arbitrary rejection of his evidence violated due process.</w:t>
      </w:r>
    </w:p>
    <w:p>
      <w:pPr>
        <w:spacing w:before="0" w:after="0"/>
      </w:pPr>
      <w:r>
        <w:rPr>
          <w:b/>
        </w:rPr>
        <w:t>5. C. V. C. v. Superior Court, 29 Cal. App. 3d 909:</w:t>
      </w:r>
      <w:r>
        <w:t xml:space="preserve"> This case establishes the timing requirement for due process hearings in California, asserting that the opportunity to be heard must precede the deprivation, which supports Hall's argument that he was entitled to have his evidence considered during the initial hearing on his petition.</w:t>
      </w:r>
    </w:p>
    <w:p>
      <w:r>
        <w:br w:type="page"/>
      </w:r>
    </w:p>
    <w:p>
      <w:pPr>
        <w:spacing w:before="0" w:after="0"/>
      </w:pPr>
      <w:r/>
      <w:hyperlink w:anchor="minorissues">
        <w:r>
          <w:rPr/>
          <w:t xml:space="preserve">↑ Triage</w:t>
        </w:r>
      </w:hyperlink>
    </w:p>
    <w:p>
      <w:pPr>
        <w:pStyle w:val="Heading3"/>
      </w:pPr>
      <w:r>
        <w:bookmarkStart w:id="42" w:name="morrisvharpe35"/>
        <w:bookmarkEnd w:id="42" w:name="morrisvharpe35"/>
      </w:r>
      <w:r>
        <w:t>Morris v. Harper 94 Cal.App.4th 52</w:t>
      </w:r>
    </w:p>
    <w:p>
      <w:pPr>
        <w:spacing w:before="240" w:after="240"/>
      </w:pPr>
      <w:r>
        <w:rPr>
          <w:b/>
          <w:i/>
          <w:color w:val="3A0517"/>
        </w:rPr>
        <w:t>Use of Citation</w:t>
      </w:r>
      <w:r>
        <w:t xml:space="preserve"> 🟡</w:t>
      </w:r>
    </w:p>
    <w:p>
      <w:pPr>
        <w:spacing w:before="0" w:after="0"/>
      </w:pPr>
      <w:r>
        <w:t>In APPELLANT Hall, Anthony Jama OPENING BRIEF On The MERITS, the appellant cites Morris v. Harper (2001) 94 Cal.App.4th 52 to establish the legal standard for the use of mandamus (p. 22). Specifically, the appellant cites the case for the proposition that "Mandamus" is the "appropriate means by which to Challenge a Government Official’s Refusal to Implement a Duly Enacted Legislative Measure" (p. 22). The appellant uses this citation within the 'Legal Standard' subsection of Argument 4, which addresses whether a writ of mandate is the adequate remedy for the trial court's refusal to accept evidence regarding compliance with the Government Claims Act (p. 22). The appellant interprets Morris v. Harper as providing the foundational authority for using a writ of mandate to compel public officials to perform their duties when they fail to follow legislative mandates (p. 22). The appellant applies this concept by analogy, arguing that because the trial court judge (a government official) refused to follow the procedural requirements of the Government Claims Act (a legislative measure) by rejecting his evidence, a writ of mandate is the necessary and appropriate remedy to correct that refusal (pp. 22-23).</w:t>
      </w:r>
    </w:p>
    <w:p>
      <w:pPr>
        <w:spacing w:before="240" w:after="240"/>
      </w:pPr>
      <w:r>
        <w:rPr>
          <w:b/>
          <w:i/>
          <w:color w:val="3A0517"/>
        </w:rPr>
        <w:t>Accuracy Review</w:t>
      </w:r>
    </w:p>
    <w:p>
      <w:pPr>
        <w:spacing w:before="0" w:after="0"/>
      </w:pPr>
      <w:r>
        <w:t>Hall correctly identifies the general purpose of mandamus as stated in Morris. However, he applies a rule typically used for executive or administrative agency inaction (like the CYA's failure to license facilities) to a judicial officer's specific adjudicatory decision regarding a petition for relief. While mandamus can challenge a judge's abuse of discretion or failure to perform a ministerial duty, Hall's specific characterization of the judge's ruling as a "refusal to implement a legislative measure" overextends the context of Morris, which dealt with systemic administrative non-compliance rather than a single judicial ruling. The citation is technically accurate in its statement of the law but contextually overextended in its application to a judge's evidentiary ruling.</w:t>
      </w:r>
    </w:p>
    <w:p>
      <w:pPr>
        <w:spacing w:before="240" w:after="240"/>
      </w:pPr>
      <w:r>
        <w:rPr>
          <w:b/>
          <w:i/>
          <w:color w:val="3A0517"/>
        </w:rPr>
        <w:t>Use of Quotes</w:t>
      </w:r>
      <w:r>
        <w:bookmarkStart w:id="43" w:name="morrisvharpe36"/>
        <w:bookmarkEnd w:id="43" w:name="morrisvharpe36"/>
      </w:r>
    </w:p>
    <w:p>
      <w:pPr>
        <w:spacing w:before="240" w:after="240"/>
      </w:pPr>
      <w:r>
        <w:t xml:space="preserve">🟢 </w:t>
      </w:r>
      <w:r>
        <w:rPr>
          <w:b/>
          <w:i/>
          <w:color w:val="3A0517"/>
        </w:rPr>
        <w:t>Quote 1 - 94 Cal.App.4th 52, 58</w:t>
      </w:r>
    </w:p>
    <w:p>
      <w:pPr>
        <w:pStyle w:val="Quote"/>
      </w:pPr>
      <w:r>
        <w:t>Mandamus has long been recognized as the appropriate means by which to Challenge a Government Official’s Refusal to Implement a Duly Enacted Legislative Measure.</w:t>
      </w:r>
    </w:p>
    <w:p>
      <w:pPr>
        <w:spacing w:before="0" w:after="0"/>
      </w:pPr>
      <w:r>
        <w:t>The quote "Mandamus has long been recognized as the appropriate means by which to challenge a government official’s refusal to implement a duly enacted legislative measure" appears verbatim on page 58 of Morris v. Harper. It is an accurate and complete representation of the legal principle the court was citing. Hall uses it to establish the standard for mandamus, which is contextually consistent with the quote's purpose of defining the scope of CCP 1085.</w:t>
      </w:r>
    </w:p>
    <w:p>
      <w:pPr>
        <w:spacing w:before="240" w:after="240"/>
      </w:pPr>
      <w:r>
        <w:rPr>
          <w:b/>
          <w:i/>
          <w:color w:val="3A0517"/>
        </w:rPr>
        <w:t>Other Relevant Precedence</w:t>
      </w:r>
    </w:p>
    <w:p>
      <w:pPr>
        <w:spacing w:before="0" w:after="0"/>
      </w:pPr>
      <w:r>
        <w:rPr>
          <w:b/>
        </w:rPr>
        <w:t>1. Corrales v. Bradstreet, 153 Cal.App.4th 33:</w:t>
      </w:r>
      <w:r>
        <w:t xml:space="preserve"> This Third Appellate District case cites </w:t>
      </w:r>
      <w:r>
        <w:rPr>
          <w:i/>
        </w:rPr>
        <w:t>Morris</w:t>
      </w:r>
      <w:r>
        <w:t xml:space="preserve"> to establish the standard of review for traditional writs of mandate and defines the ministerial duty required under Code of Civil Procedure section 1085, providing a direct jurisdictional match for the Appellant.</w:t>
      </w:r>
    </w:p>
    <w:p>
      <w:pPr>
        <w:spacing w:before="0" w:after="0"/>
      </w:pPr>
      <w:r>
        <w:rPr>
          <w:b/>
        </w:rPr>
        <w:t>2. Exxon Mobil Corp. v. Office of Environmental Health Hazard Assessment, 169 Cal.App.4th 1264:</w:t>
      </w:r>
      <w:r>
        <w:t xml:space="preserve"> This case specifically applies the </w:t>
      </w:r>
      <w:r>
        <w:rPr>
          <w:i/>
        </w:rPr>
        <w:t>Morris</w:t>
      </w:r>
      <w:r>
        <w:t xml:space="preserve"> proposition relied upon by the Appellant—that mandamus is the appropriate means to challenge a government official’s refusal to implement a legislative measure—within the context of quasi-legislative actions.</w:t>
      </w:r>
    </w:p>
    <w:p>
      <w:pPr>
        <w:spacing w:before="0" w:after="0"/>
      </w:pPr>
      <w:r>
        <w:rPr>
          <w:b/>
        </w:rPr>
        <w:t>3. Assn. of Deputy Dist. Attorneys v. Gascon, 79 Cal.App.5th 503:</w:t>
      </w:r>
      <w:r>
        <w:t xml:space="preserve"> This recent case applies the </w:t>
      </w:r>
      <w:r>
        <w:rPr>
          <w:i/>
        </w:rPr>
        <w:t>Morris</w:t>
      </w:r>
      <w:r>
        <w:t xml:space="preserve"> logic to explain how a duty becomes ministerial once a public official exercises discretion to act under a specific statutory framework, supporting the Appellant's argument that the court's duty to follow Government Code procedures is mandatory.</w:t>
      </w:r>
    </w:p>
    <w:p>
      <w:pPr>
        <w:spacing w:before="0" w:after="0"/>
      </w:pPr>
      <w:r>
        <w:rPr>
          <w:b/>
        </w:rPr>
        <w:t>4. Mental Health Ass'n v. Schwarzenegger, 190 Cal.App.4th 952:</w:t>
      </w:r>
      <w:r>
        <w:t xml:space="preserve"> This case cites </w:t>
      </w:r>
      <w:r>
        <w:rPr>
          <w:i/>
        </w:rPr>
        <w:t>Morris</w:t>
      </w:r>
      <w:r>
        <w:t xml:space="preserve"> to clarify the two-part test for mandate (ministerial duty and beneficial right) specifically in the context of compelling state officials to adhere to legislative mandates.</w:t>
      </w:r>
    </w:p>
    <w:p>
      <w:pPr>
        <w:spacing w:before="0" w:after="0"/>
      </w:pPr>
      <w:r>
        <w:rPr>
          <w:b/>
        </w:rPr>
        <w:t>5. San Diego Public Library Foundation v. Fuentes, 103 Cal.App.5th 552:</w:t>
      </w:r>
      <w:r>
        <w:t xml:space="preserve"> A very recent (2024) case that reinforces the </w:t>
      </w:r>
      <w:r>
        <w:rPr>
          <w:i/>
        </w:rPr>
        <w:t>Morris</w:t>
      </w:r>
      <w:r>
        <w:t xml:space="preserve"> standard for reviewing traditional mandate and the necessity of a clear, present duty when a petitioner seeks to compel government performance.</w:t>
      </w:r>
    </w:p>
    <w:p>
      <w:r>
        <w:br w:type="page"/>
      </w:r>
    </w:p>
    <w:p>
      <w:pPr>
        <w:spacing w:before="0" w:after="0"/>
      </w:pPr>
      <w:r/>
      <w:hyperlink w:anchor="minorissues">
        <w:r>
          <w:rPr/>
          <w:t xml:space="preserve">↑ Triage</w:t>
        </w:r>
      </w:hyperlink>
    </w:p>
    <w:p>
      <w:pPr>
        <w:pStyle w:val="Heading3"/>
      </w:pPr>
      <w:r>
        <w:bookmarkStart w:id="44" w:name="schwartzvpoi37"/>
        <w:bookmarkEnd w:id="44" w:name="schwartzvpoi37"/>
      </w:r>
      <w:r>
        <w:t>Schwartz v. Poizner 187 Cal.App.4th 592</w:t>
      </w:r>
    </w:p>
    <w:p>
      <w:pPr>
        <w:spacing w:before="240" w:after="240"/>
      </w:pPr>
      <w:r>
        <w:rPr>
          <w:b/>
          <w:i/>
          <w:color w:val="3A0517"/>
        </w:rPr>
        <w:t>Use of Citation</w:t>
      </w:r>
      <w:r>
        <w:t xml:space="preserve"> 🟡</w:t>
      </w:r>
    </w:p>
    <w:p>
      <w:pPr>
        <w:spacing w:before="0" w:after="0"/>
      </w:pPr>
      <w:r>
        <w:t>In the APPELLANT Hall, Anthony Jama OPENING BRIEF On The MERITS, Schwartz v. Poizner (2010) 187 Cal.App.4th 592 is cited to establish the legal definition and requirements of a ministerial act in the context of a writ of mandate (p. 22). The document cites the case for the proposition that a ministerial act is one that a public officer is required to perform in a prescribed manner in obedience to legal authority, without regard to their own judgment or opinion (p. 22). Furthermore, it uses the case to support the rule that when a statute or ordinance clearly defines specific duties, those duties become mandatory and eliminate judicial discretion (p. 22). The context of this citation relates to Argument 4, where Hall contends that the trial court (Judge Krueger) failed in its ministerial duty to accept and consider evidence of his timely filed government claim (pp. 22-23). Hall interprets Schwartz v. Poizner as establishing that the court's duty to accept evidence for consideration is mandatory rather than discretionary (p. 24). He applies this legal concept by arguing that the trial court's refusal to accept his verified claim form and supporting documentation was an abuse of discretion because the court was required to perform the ministerial duty of ensuring fair due process by receiving relevant pleadings (pp. 23-24).</w:t>
      </w:r>
    </w:p>
    <w:p>
      <w:pPr>
        <w:spacing w:before="240" w:after="240"/>
      </w:pPr>
      <w:r>
        <w:rPr>
          <w:b/>
          <w:i/>
          <w:color w:val="3A0517"/>
        </w:rPr>
        <w:t>Accuracy Review</w:t>
      </w:r>
    </w:p>
    <w:p>
      <w:pPr>
        <w:spacing w:before="0" w:after="0"/>
      </w:pPr>
      <w:r>
        <w:t>The citation to Schwartz v. Poizner in the brief is partially accurate but involves a contextual overextension. Hall correctly identifies and quotes the legal standard for a ministerial act as defined in the case. However, he applies this principle—which Schwartz used to evaluate the administrative discretion of the Insurance Commissioner—to a trial judge's decision to refuse evidence at a hearing. In the context of judicial proceedings, the admission of evidence and the consideration of late-filed attachments are typically matters of judicial discretion or governed by specific procedural rules (like the California Rules of Court), rather than being 'ministerial' tasks performed without regard to judgment. By labeling the judge's refusal as a failure of a 'ministerial duty,' Hall attempts to shift the standard of review from 'abuse of discretion' to a mandatory requirement, which is a doctrinal overextension of the Schwartz holding. The outcome alignment is also problematic, as treating every evidentiary ruling as a ministerial act would fundamentally alter the nature of judicial discretion in trial courts.</w:t>
      </w:r>
    </w:p>
    <w:p>
      <w:pPr>
        <w:spacing w:before="240" w:after="240"/>
      </w:pPr>
      <w:r>
        <w:rPr>
          <w:b/>
          <w:i/>
          <w:color w:val="3A0517"/>
        </w:rPr>
        <w:t>Use of Quotes</w:t>
      </w:r>
      <w:r>
        <w:bookmarkStart w:id="45" w:name="schwartzvpoi38"/>
        <w:bookmarkEnd w:id="45" w:name="schwartzvpoi38"/>
      </w:r>
    </w:p>
    <w:p>
      <w:pPr>
        <w:spacing w:before="240" w:after="240"/>
      </w:pPr>
      <w:r>
        <w:t xml:space="preserve">🟢 </w:t>
      </w:r>
      <w:r>
        <w:rPr>
          <w:b/>
          <w:i/>
          <w:color w:val="3A0517"/>
        </w:rPr>
        <w:t>Quote 1 - 187 Cal.App.4th 592, 596-597</w:t>
      </w:r>
    </w:p>
    <w:p>
      <w:pPr>
        <w:pStyle w:val="Quote"/>
      </w:pPr>
      <w:r>
        <w:t>Ministerial Act", for purposes of a writ of Mandate, is an act that a Public Officer is Required to perform in a prescribed manner in Obedience to the Mandate of Legal Authority and Without Regard to his Own Judgment or Opinion Concerning such Acts Propriety or Impropriety, when a given state of facts Exists...Thus, [w]here a statute or Ordinance clearly defines the Specific Duties or Course of Conduct that a Governing Body must Take, that course of conduct becomes mandatory and eliminates any element of Discretion.</w:t>
      </w:r>
    </w:p>
    <w:p>
      <w:pPr>
        <w:spacing w:before="0" w:after="0"/>
      </w:pPr>
      <w:r>
        <w:t>The quote provided on page 22 of the brief actually exists in the text of Schwartz v. Poizner at pages 596-597. It is an accurate and complete representation of the definition the court provided (which the court itself quoted from Carrancho v. California Air Resources Board). The quote is used in a contextually complete manner to define the legal term 'ministerial act' for the purpose of Hall's argument.</w:t>
      </w:r>
    </w:p>
    <w:p>
      <w:pPr>
        <w:spacing w:before="240" w:after="240"/>
      </w:pPr>
      <w:r>
        <w:rPr>
          <w:b/>
          <w:i/>
          <w:color w:val="3A0517"/>
        </w:rPr>
        <w:t>Other Relevant Precedence</w:t>
      </w:r>
    </w:p>
    <w:p>
      <w:pPr>
        <w:spacing w:before="0" w:after="0"/>
      </w:pPr>
      <w:r>
        <w:rPr>
          <w:b/>
        </w:rPr>
        <w:t>1. Assn. of Deputy Dist. Attorneys v. Gascon, 79 Cal.App.5th 503:</w:t>
      </w:r>
      <w:r>
        <w:t xml:space="preserve"> This case applies the </w:t>
      </w:r>
      <w:r>
        <w:rPr>
          <w:i/>
        </w:rPr>
        <w:t>Schwartz</w:t>
      </w:r>
      <w:r>
        <w:t xml:space="preserve"> rule to determine when a statutory requirement creates a ministerial duty that eliminates discretion, providing a more recent application of the principle to legal duties rather than administrative insurance settlements.</w:t>
      </w:r>
    </w:p>
    <w:p>
      <w:pPr>
        <w:spacing w:before="0" w:after="0"/>
      </w:pPr>
      <w:r>
        <w:rPr>
          <w:b/>
        </w:rPr>
        <w:t>2. Ellena v. Department of Insurance, 230 Cal. App. 4th 198:</w:t>
      </w:r>
      <w:r>
        <w:t xml:space="preserve"> This case distinguishes </w:t>
      </w:r>
      <w:r>
        <w:rPr>
          <w:i/>
        </w:rPr>
        <w:t>Schwartz</w:t>
      </w:r>
      <w:r>
        <w:t xml:space="preserve"> by clarifying the difference between compelling a mandatory duty (the act of performing a review) and compelling a specific discretionary outcome, which is directly relevant to the Appellant's argument that the trial court had a ministerial duty to "receive" evidence.</w:t>
      </w:r>
    </w:p>
    <w:p>
      <w:pPr>
        <w:spacing w:before="0" w:after="0"/>
      </w:pPr>
      <w:r>
        <w:rPr>
          <w:b/>
        </w:rPr>
        <w:t>3. Freeny v. City of San Buenaventura, 216 Cal. App. 4th 1333:</w:t>
      </w:r>
      <w:r>
        <w:t xml:space="preserve"> This case applies the </w:t>
      </w:r>
      <w:r>
        <w:rPr>
          <w:i/>
        </w:rPr>
        <w:t>Schwartz</w:t>
      </w:r>
      <w:r>
        <w:t xml:space="preserve"> requirement for specific factual pleading to overcome the presumption that public officials have regularly performed their official duties, a critical procedural hurdle for the Appellant's mandamus petition.</w:t>
      </w:r>
    </w:p>
    <w:p>
      <w:r>
        <w:br w:type="page"/>
      </w:r>
    </w:p>
    <w:p>
      <w:pPr>
        <w:spacing w:before="0" w:after="0"/>
      </w:pPr>
      <w:r/>
      <w:hyperlink w:anchor="minorissues">
        <w:r>
          <w:rPr/>
          <w:t xml:space="preserve">↑ Triage</w:t>
        </w:r>
      </w:hyperlink>
    </w:p>
    <w:p>
      <w:pPr>
        <w:pStyle w:val="Heading3"/>
      </w:pPr>
      <w:r>
        <w:bookmarkStart w:id="46" w:name="codeofcivilp39"/>
        <w:bookmarkEnd w:id="46" w:name="codeofcivilp39"/>
      </w:r>
      <w:r>
        <w:t>Code of Civil Procedure § 170.4</w:t>
      </w:r>
    </w:p>
    <w:p>
      <w:pPr>
        <w:spacing w:before="240" w:after="240"/>
      </w:pPr>
      <w:r>
        <w:rPr>
          <w:b/>
          <w:i/>
          <w:color w:val="3A0517"/>
        </w:rPr>
        <w:t>Use of Citation</w:t>
      </w:r>
      <w:r>
        <w:t xml:space="preserve"> 🟡</w:t>
      </w:r>
    </w:p>
    <w:p>
      <w:pPr>
        <w:spacing w:before="0" w:after="0"/>
      </w:pPr>
      <w:r>
        <w:t>The document cites CA Code of Civil Procedure section 170.4 as part of a statutory framework (alongside sections 170.3 and 170.6) governing the disqualification of judicial officers for cause or bias (p. 2, 9). The appellant uses this section to support the proposition that a trial court errs when it denies a challenge for cause against a judge who has demonstrated bias or prejudice by failing to perform ministerial duties, such as following Government Code section 946.6 or considering relevant evidence (p. 9, 27, 31). In the context of this matter, Hall argues that Judge Christopher Krueger's refusal to accept evidence regarding a late claim petition created an appearance of bias, necessitating a challenge for cause under section 170.4 (p. 27-28). Hall employs analogical reasoning by linking the procedural requirements of section 170.4 with constitutional due process rights, asserting that the failure to disqualify a biased judge violates the right to a fair and impartial hearing (p. 31). He further argues that a writ of mandate is the adequate and necessary remedy to address errors related to a section 170.4 challenge, rather than a standard appeal (p. 27). The document interprets the statutory rules of section 170.4 as part of the mandatory procedure for ensuring judicial impartiality, where a judge's failure to follow the law or their disregard for evidence serves as a valid ground for disqualification (p. 31).</w:t>
      </w:r>
    </w:p>
    <w:p>
      <w:pPr>
        <w:spacing w:before="240" w:after="240"/>
      </w:pPr>
      <w:r>
        <w:rPr>
          <w:b/>
          <w:i/>
          <w:color w:val="3A0517"/>
        </w:rPr>
        <w:t>Accuracy Review</w:t>
      </w:r>
    </w:p>
    <w:p>
      <w:pPr>
        <w:spacing w:before="0" w:after="0"/>
      </w:pPr>
      <w:r>
        <w:t>The citation to CCP 170.4 in the brief represents a contextual overextension and a technical misapplication. Hall cites 170.4 as a substantive basis for his challenge for cause, alleging that the judge's failure to follow Government Code 946.6 constitutes bias under this section. However, CCP 170.4 does not establish the grounds for bias; rather, it defines the procedural boundaries of a judge's authority once a challenge has been initiated. Hall further conflates the for-cause procedures of the 170.1-170.5 framework with the peremptory challenge procedures of CCP 170.6, which are legally distinct. While Hall correctly identifies that a writ of mandate is the proper remedy for disqualification issues, he attributes this requirement to 170.4 when it is explicitly mandated by CCP 170.3(d). Finally, Hall's claim that the judge acted improperly by 'deciding' the challenge himself ignores the provision in CCP 170.4(b) that specifically empowers a trial judge to strike a statement of disqualification that is untimely or facially insufficient.</w:t>
      </w:r>
    </w:p>
    <w:p>
      <w:r>
        <w:br w:type="page"/>
      </w:r>
    </w:p>
    <w:p>
      <w:pPr>
        <w:spacing w:before="0" w:after="0"/>
      </w:pPr>
      <w:r/>
      <w:hyperlink w:anchor="minorissues">
        <w:r>
          <w:rPr/>
          <w:t xml:space="preserve">↑ Triage</w:t>
        </w:r>
      </w:hyperlink>
    </w:p>
    <w:p>
      <w:pPr>
        <w:pStyle w:val="Heading3"/>
      </w:pPr>
      <w:r>
        <w:bookmarkStart w:id="47" w:name="codeofcivilp40"/>
        <w:bookmarkEnd w:id="47" w:name="codeofcivilp40"/>
      </w:r>
      <w:r>
        <w:t>Code of Civil Procedure § 1084</w:t>
      </w:r>
    </w:p>
    <w:p>
      <w:pPr>
        <w:spacing w:before="240" w:after="240"/>
      </w:pPr>
      <w:r>
        <w:rPr>
          <w:b/>
          <w:i/>
          <w:color w:val="3A0517"/>
        </w:rPr>
        <w:t>Use of Citation</w:t>
      </w:r>
      <w:r>
        <w:t xml:space="preserve"> 🟡</w:t>
      </w:r>
    </w:p>
    <w:p>
      <w:pPr>
        <w:spacing w:before="0" w:after="0"/>
      </w:pPr>
      <w:r>
        <w:t>The document cites CA Code of Civil Procedure section 1084 to support the proposition that a 'writ of mandate is the appropriate remedy to compel a trial court to perform a ministerial duty or to correct an abuse of discretion' (p. 25). In the context of this brief, Hall employs this citation to argue that the trial court's refusal to accept and consider evidence—specifically his verified claim and supporting documentation—constituted a failure to perform a ministerial duty, thereby necessitating mandamus relief (p. 25). Hall's reasoning relies on the interpretation of section 1084 as a procedural mechanism to address judicial errors where a court refuses to act in accordance with legal mandates. He reinforces this argument by citing McDowell v. Superior Court (1982) 137 Cal.App.3d 264, 267, which establishes the use of the writ to correct abuses of discretion (p. 25). Furthermore, Hall links this to Government Code section 946.6(e), which he interprets as imposing a ministerial duty on the court to make an independent determination based on 'any additional evidence received at the hearing' (p. 24). By citing section 1084, Hall asserts that the writ of mandate is the 'adequate remedy' to address the court's 'erroneous tentative ruling' and its subsequent refusal to accept evidence that would have proven his compliance with the Tort Claims Act (p. 25).</w:t>
      </w:r>
    </w:p>
    <w:p>
      <w:pPr>
        <w:spacing w:before="240" w:after="240"/>
      </w:pPr>
      <w:r>
        <w:rPr>
          <w:b/>
          <w:i/>
          <w:color w:val="3A0517"/>
        </w:rPr>
        <w:t>Accuracy Review</w:t>
      </w:r>
    </w:p>
    <w:p>
      <w:pPr>
        <w:spacing w:before="0" w:after="0"/>
      </w:pPr>
      <w:r>
        <w:t>The citation to CA Code of Civil Procedure section 1084 in the document is a technical overextension and an incomplete application of the statutory framework for writs of mandate. While Hall correctly uses the term 'writ of mandate' as permitted by section 1084, he attributes substantive legal power to this specific section that it does not possess. Section 1084 is merely a naming convention; it does not, by itself, establish that a writ is the 'appropriate remedy' for compelling ministerial duties or correcting abuses of discretion. That authority is derived from CCP section 1085. By citing section 1084 for the substantive standard of when a writ should issue, Hall misidentifies the source of the court's power. Furthermore, his application is contextually strained because he uses a nomenclature statute to justify a complex procedural demand—compelling a Superior Court to issue a writ against itself or to reverse a discretionary evidentiary ruling. While he supports his argument with relevant case law (McDowell), the reliance on section 1084 as the statutory basis for the 'remedy' is technically inaccurate, as section 1084 provides the name, not the remedy.</w:t>
      </w:r>
    </w:p>
    <w:p>
      <w:r>
        <w:br w:type="page"/>
      </w:r>
    </w:p>
    <w:p>
      <w:pPr>
        <w:spacing w:before="0" w:after="0"/>
      </w:pPr>
      <w:r/>
      <w:hyperlink w:anchor="minorissues">
        <w:r>
          <w:rPr/>
          <w:t xml:space="preserve">↑ Triage</w:t>
        </w:r>
      </w:hyperlink>
    </w:p>
    <w:p>
      <w:pPr>
        <w:pStyle w:val="Heading3"/>
      </w:pPr>
      <w:r>
        <w:bookmarkStart w:id="48" w:name="governmentcode9466"/>
        <w:bookmarkEnd w:id="48" w:name="governmentcode9466"/>
      </w:r>
      <w:r>
        <w:t>Government Code § 946.6</w:t>
      </w:r>
    </w:p>
    <w:p>
      <w:pPr>
        <w:spacing w:before="240" w:after="240"/>
      </w:pPr>
      <w:r>
        <w:rPr>
          <w:b/>
          <w:i/>
          <w:color w:val="3A0517"/>
        </w:rPr>
        <w:t>Use of Citation</w:t>
      </w:r>
      <w:r>
        <w:t xml:space="preserve"> 🟡</w:t>
      </w:r>
    </w:p>
    <w:p>
      <w:pPr>
        <w:spacing w:before="0" w:after="0"/>
      </w:pPr>
      <w:r>
        <w:t>The document cites CA Government Code section 946.6 to support several key legal propositions regarding the process for obtaining relief from the Government Claims Act's filing requirements. Primarily, it is used to establish that a trial court has a mandatory duty to make an independent determination on a petition for relief based on the petition itself, supporting affidavits, and 'any additional evidence received at the hearing on the petition' (p. 24). The appellant, Anthony Jama Hall, relies on section 946.6(e) to argue that Judge Christopher Krueger committed a 'clear abuse of discretion and error of law' by refusing to consider attachments and evidence presented during the hearing on November 9, 2022 (p. 15, 24). Hall employs analogical reasoning by citing County of Sacramento v. Superior Court (2014), which interpreted this statute to require courts to consider attachments to a late claim petition (p. 15). Furthermore, the document cites section 946.6 to define the jurisdictional limits of the court, noting that if an application for a late claim is filed more than one year after the cause of action accrues, the court lacks jurisdiction to grant relief (p. 24). Hall also references Tuolumne Air Service, Inc. v. Turlock Irrigation Dist. (1978) to clarify that under section 946.6, the court's power is limited to allowing the filing of a complaint without a prior claim, rather than ordering the filing of a late claim (p. 29). Ultimately, Hall interprets the statutory language as imposing a 'ministerial duty' on the court to ensure due process by accepting and considering all evidence tendered by the parties (p. 24-25). The alleged failure to follow this law is cited as evidence of judicial bias and the basis for Hall's challenge for cause against the trial judge (p. 27, 31).</w:t>
      </w:r>
    </w:p>
    <w:p>
      <w:pPr>
        <w:spacing w:before="240" w:after="240"/>
      </w:pPr>
      <w:r>
        <w:rPr>
          <w:b/>
          <w:i/>
          <w:color w:val="3A0517"/>
        </w:rPr>
        <w:t>Accuracy Review</w:t>
      </w:r>
    </w:p>
    <w:p>
      <w:pPr>
        <w:spacing w:before="0" w:after="0"/>
      </w:pPr>
      <w:r>
        <w:t>The citation of CA Government Code section 946.6 in the brief is a mix of accurate textual reference and contextual overextension. Hall accurately identifies the language of subdivision (e), which mandates an independent judicial determination and allows for evidence at the hearing. However, he overextends the statute by characterizing the court's duty to 'receive' specific evidence as a 'ministerial duty' that 'eliminates any element of discretion.' In California law, the admission of evidence is generally a discretionary function, and section 946.6(e) refers to evidence 'received,' which implies the court must first find the evidence admissible. Furthermore, Hall misapplies the statute by using an alleged procedural error under section 946.6 as the primary evidence of judicial bias to support a challenge for cause under CCP 170.3. While the brief correctly notes the jurisdictional one-year limit mentioned in cases like Greyhound Lines, Inc. v. County of Santa Clara, it attempts to transform a standard procedural dispute over late-filed attachments into a constitutional violation and a breach of ministerial duty, which is an aggressive overreading of the statutory text.</w:t>
      </w:r>
    </w:p>
    <w:p>
      <w:r>
        <w:br w:type="page"/>
      </w:r>
    </w:p>
    <w:p>
      <w:pPr>
        <w:spacing w:before="0" w:after="0"/>
      </w:pPr>
      <w:r/>
      <w:hyperlink w:anchor="minorissues">
        <w:r>
          <w:rPr/>
          <w:t xml:space="preserve">↑ Triage</w:t>
        </w:r>
      </w:hyperlink>
    </w:p>
    <w:p>
      <w:pPr>
        <w:pStyle w:val="Heading3"/>
      </w:pPr>
      <w:r>
        <w:bookmarkStart w:id="49" w:name="governmentcode9454"/>
        <w:bookmarkEnd w:id="49" w:name="governmentcode9454"/>
      </w:r>
      <w:r>
        <w:t>Government Code § 945.4</w:t>
      </w:r>
    </w:p>
    <w:p>
      <w:pPr>
        <w:spacing w:before="240" w:after="240"/>
      </w:pPr>
      <w:r>
        <w:rPr>
          <w:b/>
          <w:i/>
          <w:color w:val="3A0517"/>
        </w:rPr>
        <w:t>Use of Citation</w:t>
      </w:r>
      <w:r>
        <w:t xml:space="preserve"> 🟡</w:t>
      </w:r>
    </w:p>
    <w:p>
      <w:pPr>
        <w:spacing w:before="0" w:after="0"/>
      </w:pPr>
      <w:r>
        <w:t>The document cites CA Government Code section 945.4 to establish the foundational legal requirement for filing a lawsuit against a public entity in California. Specifically, it is cited as the statute that sets forth the 'claim filing requirements against a public entity' (p. 29). In the context of Argument 5, the appellant, Anthony Jama Hall, uses this citation to explain the relationship between the mandatory claim presentation requirement of section 945.4 and the judicial relief mechanism provided by Government Code section 946.6 (p. 29). Hall employs analogical reasoning by citing Tuolumne Air Service, Inc. v. Turlock Irrigation Dist. (1978) to clarify that while a trial court cannot technically order the filing of a 'late claim,' it possesses the power under section 946.6 to allow a petitioner to file a complaint without having filed a claim at all, provided the court grants relief from the section 945.4 requirements (p. 29). The document interprets section 945.4 as a procedural hurdle that must be cleared—either through timely compliance or through a court order granting relief—before a civil action for damages can be maintained against the County of Sacramento or its agencies (p. 29).</w:t>
      </w:r>
    </w:p>
    <w:p>
      <w:pPr>
        <w:spacing w:before="240" w:after="240"/>
      </w:pPr>
      <w:r>
        <w:rPr>
          <w:b/>
          <w:i/>
          <w:color w:val="3A0517"/>
        </w:rPr>
        <w:t>Accuracy Review</w:t>
      </w:r>
    </w:p>
    <w:p>
      <w:pPr>
        <w:spacing w:before="0" w:after="0"/>
      </w:pPr>
      <w:r>
        <w:t xml:space="preserve">The document's citation of CA Government Code section 945.4 is technically accurate in its description of the statute's function—establishing the necessity of claim presentation before a lawsuit can be initiated. However, the application involves a contextual overextension and potential mischaracterization. Hall argues that he 'complied' with the Tort Claims Act because he filed his claim within one year of the accrual of his cause of action (p. 23, 26). This misrepresents the statutory framework; section 945.4 requires compliance with the presentation timelines, which for personal injury is six months per section 911.2. By citing section 945.4 to support his claim of compliance, Hall conflates the absolute one-year limit for seeking </w:t>
      </w:r>
      <w:r>
        <w:rPr>
          <w:i/>
        </w:rPr>
        <w:t>relief</w:t>
      </w:r>
      <w:r>
        <w:t xml:space="preserve"> from a late filing (under section 946.6) with the actual deadline for a </w:t>
      </w:r>
      <w:r>
        <w:rPr>
          <w:i/>
        </w:rPr>
        <w:t>timely</w:t>
      </w:r>
      <w:r>
        <w:t xml:space="preserve"> claim. Furthermore, Hall's reliance on Tuolumne Air Service, Inc. v. Turlock Irrigation Dist. is used to argue that the court has a ministerial duty to allow his suit, but section 945.4 is a restrictive statute intended to protect public entities through early notice. Hall's interpretation suggests that filing within a year is a right of compliance rather than a basis for a discretionary petition for relief, which shifts the intended burden of the Government Claims Act.</w:t>
      </w:r>
    </w:p>
    <w:p>
      <w:r>
        <w:br w:type="page"/>
      </w:r>
    </w:p>
    <w:p>
      <w:pPr>
        <w:spacing w:before="0" w:after="0"/>
      </w:pPr>
      <w:r/>
      <w:hyperlink w:anchor="minorissues">
        <w:r>
          <w:rPr/>
          <w:t xml:space="preserve">↑ Triage</w:t>
        </w:r>
      </w:hyperlink>
    </w:p>
    <w:p>
      <w:pPr>
        <w:pStyle w:val="Heading3"/>
      </w:pPr>
      <w:r>
        <w:bookmarkStart w:id="50" w:name="evidencecode453"/>
        <w:bookmarkEnd w:id="50" w:name="evidencecode453"/>
      </w:r>
      <w:r>
        <w:t>Evidence Code § 453</w:t>
      </w:r>
    </w:p>
    <w:p>
      <w:pPr>
        <w:spacing w:before="240" w:after="240"/>
      </w:pPr>
      <w:r>
        <w:rPr>
          <w:b/>
          <w:i/>
          <w:color w:val="3A0517"/>
        </w:rPr>
        <w:t>Use of Citation</w:t>
      </w:r>
      <w:r>
        <w:t xml:space="preserve"> 🟡</w:t>
      </w:r>
    </w:p>
    <w:p>
      <w:pPr>
        <w:spacing w:before="0" w:after="0"/>
      </w:pPr>
      <w:r>
        <w:t>The document cites CA Evidence Code section 453 within an attached Minute Order from the related trial court case, Case No. 34-2022-00322068 (p. 37). The statute is cited as part of the title of a filing submitted by the Petitioner (Hall) titled "Notice of for [sic] the trial court to take judicial notice of the below described Filed / En-dorsed Pleadings, Filed in the herein Pending Government Tort Claims Cause of Action Pursuant to CA Evid. Code §§451, 452, 453" (p. 37). The legal rule supported by this citation is the mechanism for a party to request that a court take mandatory judicial notice of specific records or facts. In the context of the brief, Hall highlights the trial court's refusal to consider this notice as part of a broader pattern of the court failing its "Ministerial Duty" to "Accept into Evidence for Consideration Pleadings, Attachments, Documentary Evidence" (p. 24). The trial court interpreted the requirements of Section 453 by concluding that it did not need to consider the notice because the underlying pleadings were "not material to the Court's disposition of the motion" for reconsideration (p. 37). Hall employs analogical reasoning to argue that this refusal, combined with the court's rejection of other evidence, constitutes an "Abuse of Procedural Rules" (p. 9) and a violation of his "Constitutional Right to a Fair and Impartial Hearing" (p. 9).</w:t>
      </w:r>
    </w:p>
    <w:p>
      <w:pPr>
        <w:spacing w:before="240" w:after="240"/>
      </w:pPr>
      <w:r>
        <w:rPr>
          <w:b/>
          <w:i/>
          <w:color w:val="3A0517"/>
        </w:rPr>
        <w:t>Accuracy Review</w:t>
      </w:r>
    </w:p>
    <w:p>
      <w:pPr>
        <w:spacing w:before="0" w:after="0"/>
      </w:pPr>
      <w:r>
        <w:t>The citation to CA Evidence Code section 453 is a contextual overextension. While Hall correctly identifies section 453 as the procedural vehicle for requesting mandatory judicial notice, he misapplies the 'mandatory' nature of the statute to imply that a court must consider the noticed material regardless of its relevance to the specific motion. The trial court's minute order (p. 37) indicates it did not consider the notice because the underlying pleadings were 'not material' to the disposition. Hall’s argument that this refusal constitutes a failure of a 'Ministerial Duty' (p. 24) ignores the fact that judicial notice is still subject to the basic requirement of relevancy; a court is not required to judicially notice matters that are irrelevant to the issue before it. Therefore, while the technical citation to the statute is accurate for the purpose of making a request, Hall overextends the legal effect of the statute by claiming that mandatory notice strips the court of its discretion to determine materiality.</w:t>
      </w:r>
    </w:p>
    <w:p>
      <w:r>
        <w:br w:type="page"/>
      </w:r>
    </w:p>
    <w:p>
      <w:pPr>
        <w:spacing w:before="0" w:after="0"/>
      </w:pPr>
      <w:r/>
      <w:hyperlink w:anchor="minorissues">
        <w:r>
          <w:rPr/>
          <w:t xml:space="preserve">↑ Triage</w:t>
        </w:r>
      </w:hyperlink>
    </w:p>
    <w:p>
      <w:pPr>
        <w:pStyle w:val="Heading3"/>
      </w:pPr>
      <w:r>
        <w:bookmarkStart w:id="51" w:name="evidencecode451"/>
        <w:bookmarkEnd w:id="51" w:name="evidencecode451"/>
      </w:r>
      <w:r>
        <w:t>Evidence Code § 451</w:t>
      </w:r>
    </w:p>
    <w:p>
      <w:pPr>
        <w:spacing w:before="240" w:after="240"/>
      </w:pPr>
      <w:r>
        <w:rPr>
          <w:b/>
          <w:i/>
          <w:color w:val="3A0517"/>
        </w:rPr>
        <w:t>Use of Citation</w:t>
      </w:r>
      <w:r>
        <w:t xml:space="preserve"> 🟡</w:t>
      </w:r>
    </w:p>
    <w:p>
      <w:pPr>
        <w:spacing w:before="0" w:after="0"/>
      </w:pPr>
      <w:r>
        <w:t>The document cites CA Evidence Code section 451 within an attached Minute Order from the related trial court case, Case No. 34-2022-00322068 (p. 37). The citation is included in the title of a pleading filed by Hall: "Notice of for [sic] the trial court to take judicial notice of the below described Filed / En-dorsed Pleadings, Filed in the herein Pending Government Tort Claims Cause of Action Pursuant to CA Evid. Code §§451, 452, 453" (p. 37). Evidence Code section 451 is the statutory authority for mandatory judicial notice, which requires a court to take notice of certain matters, including the laws and court records of California. Hall used this citation to support the proposition that the trial court was required to take judicial notice of specific "Filed / En-dorsed Pleadings" relevant to his petition for relief from the Government Claims Act (p. 37). This relates to Hall's broader argument that the trial court committed an "abuse of discretion" and a "violation of the Appellant's due process rights" by refusing to consider relevant evidence (p. 14). Hall asserts that the court had a "Ministerial Duty" to accept and consider such evidence (p. 23-24). Although the trial court's minute order states it did not consider the notice because it was "not material to the Court's disposition of the motion" for reconsideration (p. 37), Hall includes this record to demonstrate that he attempted to present evidence that the court allegedly "Refused, Rejected, Failed, [and] Neglected to Receive" (p. 23).</w:t>
      </w:r>
    </w:p>
    <w:p>
      <w:pPr>
        <w:spacing w:before="240" w:after="240"/>
      </w:pPr>
      <w:r>
        <w:rPr>
          <w:b/>
          <w:i/>
          <w:color w:val="3A0517"/>
        </w:rPr>
        <w:t>Accuracy Review</w:t>
      </w:r>
    </w:p>
    <w:p>
      <w:pPr>
        <w:spacing w:before="0" w:after="0"/>
      </w:pPr>
      <w:r>
        <w:t>The citation to CA Evidence Code section 451 in the document involves a technical misapplication and contextual overextension. Hall cites section 451 as authority for the court to take mandatory judicial notice of 'Filed / En-dorsed Pleadings.' However, section 451 is strictly limited to matters like constitutional law, statutes, and facts of generalized knowledge. Court records, such as the pleadings Hall references, fall under the permissive notice provisions of Evidence Code section 452(d). While Hall also cites sections 452 and 453—which together can make the notice of court records mandatory upon a proper request—attributing the mandatory nature of noticing pleadings directly to section 451 is legally inaccurate. The citation overextends the scope of 451's automatic mandatory requirements to include specific litigation documents that require a foundational showing under 452 and 453.</w:t>
      </w:r>
    </w:p>
    <w:p>
      <w:r>
        <w:br w:type="page"/>
      </w:r>
    </w:p>
    <w:p>
      <w:pPr>
        <w:spacing w:before="0" w:after="0"/>
      </w:pPr>
      <w:r/>
      <w:hyperlink w:anchor="accurate">
        <w:r>
          <w:rPr/>
          <w:t xml:space="preserve">↑ Triage</w:t>
        </w:r>
      </w:hyperlink>
    </w:p>
    <w:p>
      <w:pPr>
        <w:pStyle w:val="Heading3"/>
      </w:pPr>
      <w:r>
        <w:bookmarkStart w:id="52" w:name="townselvsupe45"/>
        <w:bookmarkEnd w:id="52" w:name="townselvsupe45"/>
      </w:r>
      <w:r>
        <w:t>Townsel v. Superior Court 20 Cal.4th 1084</w:t>
      </w:r>
    </w:p>
    <w:p>
      <w:pPr>
        <w:spacing w:before="240" w:after="240"/>
      </w:pPr>
      <w:r>
        <w:rPr>
          <w:b/>
          <w:i/>
          <w:color w:val="3A0517"/>
        </w:rPr>
        <w:t>Use of Citation</w:t>
      </w:r>
      <w:r>
        <w:t xml:space="preserve"> 🟢</w:t>
      </w:r>
    </w:p>
    <w:p>
      <w:pPr>
        <w:spacing w:before="0" w:after="0"/>
      </w:pPr>
      <w:r>
        <w:t>In the document, Townsel v. Superior Court is cited to support the legal rules and procedural framework governing the issuance of a writ of mandate (p. 17-18). Specifically, the document uses the case to outline the process where a court, upon finding a verified petition sufficient, issues an alternative writ that commands a respondent to perform an act or show cause why they have not done so (p. 17). It further cites the case to explain the subsequent steps, including the filing of a return by the respondent, an answer by the petitioner, and the potential for an evidentiary hearing to resolve contested facts, culminating in the issuance of a peremptory writ if relief is warranted (p. 17-18). The context of this citation is Hall's second argument, where he challenges Judge Arguelles's ruling that the Superior Court lacked jurisdiction to issue a writ of mandate against itself (p. 16). Hall interprets Townsel as establishing a standard procedural path for extraordinary relief that the Superior Court is constitutionally and statutorily authorized to follow (p. 17). He applies these concepts by way of example to argue that the trial court's dismissal of his petition on jurisdictional grounds was an abuse of discretion and contrary to clearly established law regarding how mandate proceedings should be conducted (p. 18).</w:t>
      </w:r>
    </w:p>
    <w:p>
      <w:pPr>
        <w:spacing w:before="240" w:after="240"/>
      </w:pPr>
      <w:r>
        <w:rPr>
          <w:b/>
          <w:i/>
          <w:color w:val="3A0517"/>
        </w:rPr>
        <w:t>Accuracy Review</w:t>
      </w:r>
    </w:p>
    <w:p>
      <w:pPr>
        <w:spacing w:before="0" w:after="0"/>
      </w:pPr>
      <w:r>
        <w:t>Hall’s citation of Townsel v. Superior Court is an accurate application of the procedural and jurisdictional principles described in that opinion. Hall correctly identifies that Townsel provides a roadmap for mandate proceedings, including the sequence of the alternative writ, return, and answer (Townsel at pp. 1088-1089). Furthermore, Hall accurately cites the case for the proposition that the California Constitution grants superior courts original jurisdiction in proceedings for extraordinary relief. While Hall is using these general principles to argue a specific and more controversial point—that a superior court can issue a writ against itself—he does not misrepresent Townsel as having specifically authorized that intra-court practice. Instead, he uses Townsel to establish the standard legal framework and the court's general power, which is a technically sound use of the authority. The citation correctly states the holding regarding jurisdiction and applies the procedural standards within the appropriate boundaries of defining how a mandate proceeding is intended to function under California law.</w:t>
      </w:r>
    </w:p>
    <w:p>
      <w:pPr>
        <w:spacing w:before="240" w:after="240"/>
      </w:pPr>
      <w:r>
        <w:rPr>
          <w:b/>
          <w:i/>
          <w:color w:val="3A0517"/>
        </w:rPr>
        <w:t>Other Relevant Precedence</w:t>
      </w:r>
    </w:p>
    <w:p>
      <w:pPr>
        <w:spacing w:before="0" w:after="0"/>
      </w:pPr>
      <w:r>
        <w:rPr>
          <w:b/>
        </w:rPr>
        <w:t>1. People v. Superior Court, 129 Cal. App. 4th 324:</w:t>
      </w:r>
      <w:r>
        <w:t xml:space="preserve"> This Third Appellate District case applies </w:t>
      </w:r>
      <w:r>
        <w:rPr>
          <w:i/>
        </w:rPr>
        <w:t>Townsel</w:t>
      </w:r>
      <w:r>
        <w:t xml:space="preserve"> to define the limits of a trial court's jurisdiction during a pending appeal, which is central to Hall's argument regarding the Superior Court's authority to act.</w:t>
      </w:r>
    </w:p>
    <w:p>
      <w:pPr>
        <w:spacing w:before="0" w:after="0"/>
      </w:pPr>
      <w:r>
        <w:rPr>
          <w:b/>
        </w:rPr>
        <w:t>2. Stubblefield v. Superior Court, 108 Cal. App. 5th 675:</w:t>
      </w:r>
      <w:r>
        <w:t xml:space="preserve"> This case clarifies the scope of a trial court's retained jurisdiction under Code of Civil Procedure section 916, subdivision (a), a principle Hall relies on to argue that the Superior Court has the power to issue extraordinary relief.</w:t>
      </w:r>
    </w:p>
    <w:p>
      <w:pPr>
        <w:spacing w:before="0" w:after="0"/>
      </w:pPr>
      <w:r>
        <w:rPr>
          <w:b/>
        </w:rPr>
        <w:t>3. People v. Bilbrey, 25 Cal.App.5th 764:</w:t>
      </w:r>
      <w:r>
        <w:t xml:space="preserve"> This case explains the rationale for the jurisdictional transfer between trial and appellate courts, providing a more detailed analysis of the "status quo" principle mentioned in </w:t>
      </w:r>
      <w:r>
        <w:rPr>
          <w:i/>
        </w:rPr>
        <w:t>Townsel</w:t>
      </w:r>
      <w:r>
        <w:t xml:space="preserve"> and relevant to Hall's jurisdictional challenge.</w:t>
      </w:r>
    </w:p>
    <w:p>
      <w:r>
        <w:br w:type="page"/>
      </w:r>
    </w:p>
    <w:p>
      <w:pPr>
        <w:spacing w:before="0" w:after="0"/>
      </w:pPr>
      <w:r/>
      <w:hyperlink w:anchor="accurate">
        <w:r>
          <w:rPr/>
          <w:t xml:space="preserve">↑ Triage</w:t>
        </w:r>
      </w:hyperlink>
    </w:p>
    <w:p>
      <w:pPr>
        <w:pStyle w:val="Heading3"/>
      </w:pPr>
      <w:r>
        <w:bookmarkStart w:id="53" w:name="pitchessvsup46"/>
        <w:bookmarkEnd w:id="53" w:name="pitchessvsup46"/>
      </w:r>
      <w:r>
        <w:t>Pitchess v. Superior Court 11 Cal.3d 531</w:t>
      </w:r>
    </w:p>
    <w:p>
      <w:pPr>
        <w:spacing w:before="240" w:after="240"/>
      </w:pPr>
      <w:r>
        <w:rPr>
          <w:b/>
          <w:i/>
          <w:color w:val="3A0517"/>
        </w:rPr>
        <w:t>Use of Citation</w:t>
      </w:r>
      <w:r>
        <w:t xml:space="preserve"> 🟢</w:t>
      </w:r>
    </w:p>
    <w:p>
      <w:pPr>
        <w:spacing w:before="0" w:after="0"/>
      </w:pPr>
      <w:r>
        <w:t>In the document, Anthony Jama Hall cites Pitchess v. Superior Court, 11 Cal.3d 531 (1974) primarily to establish the procedural history of his underlying criminal case and to demonstrate his diligence in pursuing legal remedies. LEGAL RULES: The document does not explicitly articulate the specific legal rule established by Pitchess (which governs the discovery of peace officer personnel records); instead, it uses the case name as a shorthand for a 'Pitchess Motion,' a procedural tool used to investigate law enforcement conduct (p. 12, 30). CONTEXT: The citation appears within the 'Procedural History' and 'Argument 5' sections to describe the 'Tragic Sequence of Events' following Hall's arrest (p. 6). Hall explains that during his criminal proceedings (Case No. 19MI000678), he filed a 'Motion under Pitchess v. Superior Court' alongside a motion to suppress evidence (p. 12). He uses these filings to show that the criminal charges were eventually 'Dismissed in the Interest of Justice' after these processes were implemented (p. 12, 30). INTERPRETATION: Hall interprets the filing of a Pitchess motion as a critical component of his defense that contributed to the favorable termination of his criminal case, which in turn set the stage for his civil claims for malicious prosecution and civil rights violations (p. 12). APPLICATION: The document does not directly apply the legal concepts or standards of Pitchess to the current appellate issues regarding the Government Claims Act or judicial bias. Instead, it uses Pitchess as an example of the specific 'Processes' Hall utilized to challenge the actions of the Sacramento County Sheriff's Department and Officer Black during the criminal phase of the dispute (p. 30).</w:t>
      </w:r>
    </w:p>
    <w:p>
      <w:pPr>
        <w:spacing w:before="240" w:after="240"/>
      </w:pPr>
      <w:r>
        <w:rPr>
          <w:b/>
          <w:i/>
          <w:color w:val="3A0517"/>
        </w:rPr>
        <w:t>Accuracy Review</w:t>
      </w:r>
    </w:p>
    <w:p>
      <w:pPr>
        <w:spacing w:before="0" w:after="0"/>
      </w:pPr>
      <w:r>
        <w:t>The citation to Pitchess v. Superior Court in the document is an example of an accurate application within a limited procedural context. Hall correctly identifies Pitchess as the authority for a specific type of discovery motion used in California criminal proceedings to investigate law enforcement conduct. He does not attempt to overextend the holding of Pitchess to the civil issues currently before the Court of Appeal, such as the interpretation of Government Code section 911.5(b) or the jurisdictional limits of a writ of mandate. Instead, the citation serves to demonstrate Hall's diligence during the criminal phase of the dispute and to establish that the favorable termination of that case (a prerequisite for his subsequent civil claims) was achieved through standard legal processes. While the document does not delve into the technical standards of Pitchess (such as the 'good cause' showing or the in camera review process), such detail is unnecessary for the purpose of providing a procedural history. The citation is contextually appropriate and consistent with the original decision's role in establishing criminal discovery rights, though its relevance to the core legal arguments of the opening brief is purely historical and foundational.</w:t>
      </w:r>
    </w:p>
    <w:p>
      <w:pPr>
        <w:spacing w:before="240" w:after="240"/>
      </w:pPr>
      <w:r>
        <w:rPr>
          <w:b/>
          <w:i/>
          <w:color w:val="3A0517"/>
        </w:rPr>
        <w:t>Applicable Negative Treatment</w:t>
      </w:r>
    </w:p>
    <w:p>
      <w:pPr>
        <w:spacing w:before="0" w:after="0"/>
      </w:pPr>
      <w:r>
        <w:rPr>
          <w:b/>
        </w:rPr>
        <w:t>1. People v. Hustead, 74 Cal. App. 4th 410:</w:t>
      </w:r>
      <w:r>
        <w:t xml:space="preserve"> This case notes that the legal rule established in </w:t>
      </w:r>
      <w:r>
        <w:rPr>
          <w:i/>
        </w:rPr>
        <w:t>Pitchess v. Superior Court</w:t>
      </w:r>
      <w:r>
        <w:t>, which provided for the disclosure of a police officer’s personnel records in certain situations, has since been codified and superseded by Evidence Code sections 1043 through 1045.</w:t>
      </w:r>
    </w:p>
    <w:p>
      <w:pPr>
        <w:spacing w:before="0" w:after="0"/>
      </w:pPr>
      <w:r>
        <w:rPr>
          <w:b/>
        </w:rPr>
        <w:t>2. Arcelona v. Municipal Court, 113 Cal. App. 3d 523:</w:t>
      </w:r>
      <w:r>
        <w:t xml:space="preserve"> This case limits the application of </w:t>
      </w:r>
      <w:r>
        <w:rPr>
          <w:i/>
        </w:rPr>
        <w:t>Pitchess</w:t>
      </w:r>
      <w:r>
        <w:t xml:space="preserve"> by explaining that while the original standards evolved in the absence of legislation, the subsequent enactment of Penal Code section 832.7 and Evidence Code sections 1043 and 1045 circumscribed the scope of discovery, specifically excluding conclusions resulting from internal investigations as irrelevant.</w:t>
      </w:r>
    </w:p>
    <w:p>
      <w:pPr>
        <w:spacing w:before="0" w:after="0"/>
      </w:pPr>
      <w:r>
        <w:rPr>
          <w:b/>
        </w:rPr>
        <w:t>3. Brown v. Valverde, 183 Cal. App. 4th 1531:</w:t>
      </w:r>
      <w:r>
        <w:t xml:space="preserve"> This opinion limits the </w:t>
      </w:r>
      <w:r>
        <w:rPr>
          <w:i/>
        </w:rPr>
        <w:t>Pitchess</w:t>
      </w:r>
      <w:r>
        <w:t xml:space="preserve"> doctrine by noting that the statutory scheme (Evidence Code sections 1043 and 1045 and Penal Code sections 832.7 and 832.8) was enacted to "reign in" such motions and address concerns that defendants were using the original judicial standard to conduct "fishing expeditions" into arresting officers' files.</w:t>
      </w:r>
    </w:p>
    <w:p>
      <w:pPr>
        <w:spacing w:before="0" w:after="0"/>
      </w:pPr>
      <w:r>
        <w:rPr>
          <w:b/>
        </w:rPr>
        <w:t>4. City &amp; County of San Francisco v. Superior Court, 125 Cal. App. 3d 879:</w:t>
      </w:r>
      <w:r>
        <w:t xml:space="preserve"> The concurring opinion states that the discovery standards in </w:t>
      </w:r>
      <w:r>
        <w:rPr>
          <w:i/>
        </w:rPr>
        <w:t>Pitchess</w:t>
      </w:r>
      <w:r>
        <w:t xml:space="preserve"> evolved "in the absence of legislation" and that the scope of disclosure once permitted under those principles is now strictly circumscribed by the statutory scheme of Evidence Code section 1045.</w:t>
      </w:r>
    </w:p>
    <w:p>
      <w:pPr>
        <w:spacing w:before="0" w:after="0"/>
      </w:pPr>
      <w:r>
        <w:rPr>
          <w:b/>
        </w:rPr>
        <w:t>5. City of Azusa v. Superior Court, 191 Cal. App. 3d 693:</w:t>
      </w:r>
      <w:r>
        <w:t xml:space="preserve"> This case limits the </w:t>
      </w:r>
      <w:r>
        <w:rPr>
          <w:i/>
        </w:rPr>
        <w:t>Pitchess</w:t>
      </w:r>
      <w:r>
        <w:t xml:space="preserve"> holding by ruling that the production of more than the names and addresses of complainants is premature unless the moving party demonstrates that the complainants are unavailable for interviews or cannot remember the details of the events.</w:t>
      </w:r>
    </w:p>
    <w:p>
      <w:pPr>
        <w:spacing w:before="240" w:after="240"/>
      </w:pPr>
      <w:r>
        <w:rPr>
          <w:b/>
          <w:i/>
          <w:color w:val="3A0517"/>
        </w:rPr>
        <w:t>Other Relevant Precedence</w:t>
      </w:r>
    </w:p>
    <w:p>
      <w:pPr>
        <w:spacing w:before="0" w:after="0"/>
      </w:pPr>
      <w:r>
        <w:rPr>
          <w:b/>
        </w:rPr>
        <w:t>1. City of Redding v. Municipal Court, 200 Cal. App. 3d 1181:</w:t>
      </w:r>
      <w:r>
        <w:t xml:space="preserve"> This case is directly cited in Hall's brief and originates from the same appellate district (Third District). It applies </w:t>
      </w:r>
      <w:r>
        <w:rPr>
          <w:i/>
        </w:rPr>
        <w:t>Pitchess</w:t>
      </w:r>
      <w:r>
        <w:t xml:space="preserve"> principles to the availability of writ review for trial court determinations, supporting Hall's Argument 3 that a writ is the only adequate remedy for certain erroneous orders.</w:t>
      </w:r>
    </w:p>
    <w:p>
      <w:pPr>
        <w:spacing w:before="0" w:after="0"/>
      </w:pPr>
      <w:r>
        <w:rPr>
          <w:b/>
        </w:rPr>
        <w:t>2. People v. Superior Court, 80 Cal. App. 4th 1305:</w:t>
      </w:r>
      <w:r>
        <w:t xml:space="preserve"> This case discusses the inherent power of the court to order discovery to ensure a fair trial and the ascertainment of truth. This aligns with Hall's Argument 4 regarding the court's "Ministerial Duty" to accept and consider evidence presented by a party.</w:t>
      </w:r>
    </w:p>
    <w:p>
      <w:pPr>
        <w:spacing w:before="0" w:after="0"/>
      </w:pPr>
      <w:r>
        <w:rPr>
          <w:b/>
        </w:rPr>
        <w:t>3. Alford v. Superior Court, 29 Cal. 4th 1033:</w:t>
      </w:r>
      <w:r>
        <w:t xml:space="preserve"> This Supreme Court case provides the foundational legal authority for the "Pitchess discovery" procedure Hall references in his procedural history. It explains the statutory scheme that codified the right established in </w:t>
      </w:r>
      <w:r>
        <w:rPr>
          <w:i/>
        </w:rPr>
        <w:t>Pitchess</w:t>
      </w:r>
      <w:r>
        <w:t>, which Hall claims was a key factor in the dismissal of his criminal case.</w:t>
      </w:r>
    </w:p>
    <w:p>
      <w:pPr>
        <w:spacing w:before="0" w:after="0"/>
      </w:pPr>
      <w:r>
        <w:rPr>
          <w:b/>
        </w:rPr>
        <w:t>4. People v. Mooc, 26 Cal. 4th 1216:</w:t>
      </w:r>
      <w:r>
        <w:t xml:space="preserve"> This case elaborates on the trial court's specific procedural duties when handling discovery of confidential records. This is relevant to Hall's Argument 5 regarding the alleged failure of the judge to perform ministerial duties and follow established law.</w:t>
      </w:r>
    </w:p>
    <w:p>
      <w:pPr>
        <w:spacing w:before="0" w:after="0"/>
      </w:pPr>
      <w:r>
        <w:rPr>
          <w:b/>
        </w:rPr>
        <w:t>5. Warrick v. Superior Court, 35 Cal. 4th 1011:</w:t>
      </w:r>
      <w:r>
        <w:t xml:space="preserve"> This case clarifies the "good cause" standard for discovery, which Hall implicitly references in Arguments 1 and 5 when challenging the trial court's refusal to consider his evidence and attachments as part of his "Prima Facie" showing.</w:t>
      </w:r>
    </w:p>
    <w:p>
      <w:r>
        <w:br w:type="page"/>
      </w:r>
    </w:p>
    <w:p>
      <w:pPr>
        <w:spacing w:before="0" w:after="0"/>
      </w:pPr>
      <w:r/>
      <w:hyperlink w:anchor="accurate">
        <w:r>
          <w:rPr/>
          <w:t xml:space="preserve">↑ Triage</w:t>
        </w:r>
      </w:hyperlink>
    </w:p>
    <w:p>
      <w:pPr>
        <w:pStyle w:val="Heading3"/>
      </w:pPr>
      <w:r>
        <w:bookmarkStart w:id="54" w:name="californiaas47"/>
        <w:bookmarkEnd w:id="54" w:name="californiaas47"/>
      </w:r>
      <w:r>
        <w:t>California Assn for Health Services at Home v. Department of Health Services 148 Cal.App.4th 696</w:t>
      </w:r>
    </w:p>
    <w:p>
      <w:pPr>
        <w:spacing w:before="240" w:after="240"/>
      </w:pPr>
      <w:r>
        <w:rPr>
          <w:b/>
          <w:i/>
          <w:color w:val="3A0517"/>
        </w:rPr>
        <w:t>Use of Citation</w:t>
      </w:r>
      <w:r>
        <w:t xml:space="preserve"> 🟢</w:t>
      </w:r>
    </w:p>
    <w:p>
      <w:pPr>
        <w:spacing w:before="0" w:after="0"/>
      </w:pPr>
      <w:r>
        <w:t>The document cites California Assn for Health Services at Home v. Department of Health Services (2007) 148 Cal.App.4th 696 to establish the foundational legal standard for the issuance of an ordinary writ of mandate (p. 22). Specifically, it is cited to support the second of two 'Essential Requirements' for such a writ: 'A Clear, and Beneficial Right on the part of the Petitioner-Plaintiff to the Performance Of that Duty' (p. 22). In the context of Argument 4, the appellant uses this citation to justify his pursuit of a writ of mandate as the 'adequate remedy' for the trial court's alleged failure to accept evidence of his compliance with the Government Claims Act (p. 22). The appellant interprets the case as providing a definitive two-part test for mandamus relief, focusing on the petitioner's right to performance (p. 22). He applies this legal concept directly by asserting that he 'fulfilled those two Requirements' and possesses a beneficial right to have his evidence considered by the court to ensure fair due process (p. 8, 22-23).</w:t>
      </w:r>
    </w:p>
    <w:p>
      <w:pPr>
        <w:spacing w:before="240" w:after="240"/>
      </w:pPr>
      <w:r>
        <w:rPr>
          <w:b/>
          <w:i/>
          <w:color w:val="3A0517"/>
        </w:rPr>
        <w:t>Accuracy Review</w:t>
      </w:r>
    </w:p>
    <w:p>
      <w:pPr>
        <w:spacing w:before="0" w:after="0"/>
      </w:pPr>
      <w:r>
        <w:t>The citation to CAHSAH is an accurate application of the legal standard for a traditional writ of mandate. Hall correctly identifies the two essential requirements—a clear ministerial duty and a beneficial right—as articulated on page 704 of the CAHSAH opinion. While Hall applies this administrative law precedent to a judicial context (arguing a judge's failure to accept evidence is a breach of a ministerial duty), the statement of the rule itself is verbatim and consistent with the original decision's framing of CCP 1085. The brief uses the case appropriately to define the burden of proof for a petitioner seeking mandamus relief, though the ultimate success of the argument depends on whether the court views the specific act of 'accepting evidence' as ministerial or discretionary under Government Code section 946.6.</w:t>
      </w:r>
    </w:p>
    <w:p>
      <w:pPr>
        <w:spacing w:before="240" w:after="240"/>
      </w:pPr>
      <w:r>
        <w:rPr>
          <w:b/>
          <w:i/>
          <w:color w:val="3A0517"/>
        </w:rPr>
        <w:t>Other Relevant Precedence</w:t>
      </w:r>
    </w:p>
    <w:p>
      <w:pPr>
        <w:spacing w:before="0" w:after="0"/>
      </w:pPr>
      <w:r>
        <w:rPr>
          <w:b/>
        </w:rPr>
        <w:t>1. Amalgamated Transit Union, Local 276 v. San Joaquin Regional Transit Dist., 36 Cal.App.5th 1:</w:t>
      </w:r>
      <w:r>
        <w:t xml:space="preserve"> This is a more recent decision from the same jurisdiction (Third Appellate District) that restates the two essential requirements for a traditional writ of mandate: a ministerial duty and a beneficial right.</w:t>
      </w:r>
    </w:p>
    <w:p>
      <w:pPr>
        <w:spacing w:before="0" w:after="0"/>
      </w:pPr>
      <w:r>
        <w:rPr>
          <w:b/>
        </w:rPr>
        <w:t>2. Santa Rosa Memorial Hospital v. Kent, 25 Cal.App.5th 811:</w:t>
      </w:r>
      <w:r>
        <w:t xml:space="preserve"> This case provides a specific and concise definition of "ministerial duty"—performing an act in a prescribed manner without exercising judgment—which is highly relevant to the appellant's claim that the trial court failed in its ministerial duty to accept evidence.</w:t>
      </w:r>
    </w:p>
    <w:p>
      <w:pPr>
        <w:spacing w:before="0" w:after="0"/>
      </w:pPr>
      <w:r>
        <w:rPr>
          <w:b/>
        </w:rPr>
        <w:t>3. Association for Los Angeles Deputy Sheriffs v. County of Los Angeles, 94 Cal.App.5th 764:</w:t>
      </w:r>
      <w:r>
        <w:t xml:space="preserve"> As a very recent 2023 case, it reinforces the "clear, present, and beneficial right" requirement for mandamus, which the appellant asserts he has fulfilled.</w:t>
      </w:r>
    </w:p>
    <w:p>
      <w:pPr>
        <w:spacing w:before="0" w:after="0"/>
      </w:pPr>
      <w:r>
        <w:rPr>
          <w:b/>
        </w:rPr>
        <w:t>4. California Hospital Ass'n v. Maxwell-Jolly, 188 Cal.App.4th 559:</w:t>
      </w:r>
      <w:r>
        <w:t xml:space="preserve"> This case further clarifies the "beneficially interested" standard, defining it as having a "special interest over and above the interest of the public at large," which supports the appellant's standing as a pro per litigant seeking redress.</w:t>
      </w:r>
    </w:p>
    <w:p>
      <w:pPr>
        <w:spacing w:before="0" w:after="0"/>
      </w:pPr>
      <w:r>
        <w:rPr>
          <w:b/>
        </w:rPr>
        <w:t>5. San Diego City Firefighters v. Board of Administration of San Diego City Employees' Retirement System, 206 Cal.App.4th 594:</w:t>
      </w:r>
      <w:r>
        <w:t xml:space="preserve"> This case emphasizes that a petitioner must show a "present duty" for the performance of the act, a concept the appellant relies on to argue the court had an immediate obligation to consider his evidence.</w:t>
      </w:r>
    </w:p>
    <w:p>
      <w:r>
        <w:br w:type="page"/>
      </w:r>
    </w:p>
    <w:p>
      <w:pPr>
        <w:spacing w:before="0" w:after="0"/>
      </w:pPr>
      <w:r/>
      <w:hyperlink w:anchor="accurate">
        <w:r>
          <w:rPr/>
          <w:t xml:space="preserve">↑ Triage</w:t>
        </w:r>
      </w:hyperlink>
    </w:p>
    <w:p>
      <w:pPr>
        <w:pStyle w:val="Heading3"/>
      </w:pPr>
      <w:r>
        <w:bookmarkStart w:id="55" w:name="gilberdvactr48"/>
        <w:bookmarkEnd w:id="55" w:name="gilberdvactr48"/>
      </w:r>
      <w:r>
        <w:t>Gilberd v. AC Transit 32 Cal.App.4th 1494</w:t>
      </w:r>
    </w:p>
    <w:p>
      <w:pPr>
        <w:spacing w:before="240" w:after="240"/>
      </w:pPr>
      <w:r>
        <w:rPr>
          <w:b/>
          <w:i/>
          <w:color w:val="3A0517"/>
        </w:rPr>
        <w:t>Use of Citation</w:t>
      </w:r>
      <w:r>
        <w:t xml:space="preserve"> 🟢</w:t>
      </w:r>
    </w:p>
    <w:p>
      <w:pPr>
        <w:spacing w:before="0" w:after="0"/>
      </w:pPr>
      <w:r>
        <w:t>The document APPELLANT Hall, Anthony Jama OPENING BRIEF On The MERITS cites Gilberd v. AC Transit (1995) 32 Cal.App.4th 1494 within an attached Minute Order from the related trial court case (Case No. 34-2022-00322068) (p. 37). The citation is used to support the legal rule regarding the legislative intent behind motions for reconsideration under Code of Civil Procedure section 1008. Specifically, it is cited for the proposition that the legislature intended to restrict such motions to 'circumstances where a party offers the court some fact or circumstance not previously considered and some valid reason for not offering it earlier' (p. 37). In the context of the document, the trial court used this reasoning to evaluate Hall's motion for reconsideration of an order dated November 9, 2022. The court interpreted Gilberd as requiring a strict showing of newly discovered facts or law and a satisfactory explanation for why they were not produced earlier. The court applied this concept directly to Hall's motion, concluding that he failed to meet the standard because he cited cases that pre-dated the original order and failed to provide a valid reason for not presenting his evidence sooner (p. 37).</w:t>
      </w:r>
    </w:p>
    <w:p>
      <w:pPr>
        <w:spacing w:before="240" w:after="240"/>
      </w:pPr>
      <w:r>
        <w:rPr>
          <w:b/>
          <w:i/>
          <w:color w:val="3A0517"/>
        </w:rPr>
        <w:t>Accuracy Review</w:t>
      </w:r>
    </w:p>
    <w:p>
      <w:pPr>
        <w:spacing w:before="0" w:after="0"/>
      </w:pPr>
      <w:r>
        <w:t>The citation to Gilberd v. AC Transit in the attached Minute Order is a highly accurate application of the law. The trial court correctly identifies Gilberd as the controlling authority for the jurisdictional nature of CCP section 1008. The court accurately reflects the legislative intent described in Gilberd—to prevent the relitigation of issues already decided unless truly new information is presented. The application of this principle to Hall's motion for reconsideration is consistent with Gilberd's holding that a mere disagreement with a court's legal interpretation or the presentation of previously available facts does not satisfy the statutory requirements. The court's insistence on a 'satisfactory explanation' for the delay also aligns with the procedural rigor established in Gilberd and its progeny.</w:t>
      </w:r>
    </w:p>
    <w:p>
      <w:pPr>
        <w:spacing w:before="240" w:after="240"/>
      </w:pPr>
      <w:r>
        <w:rPr>
          <w:b/>
          <w:i/>
          <w:color w:val="3A0517"/>
        </w:rPr>
        <w:t>Use of Quotes</w:t>
      </w:r>
      <w:r>
        <w:bookmarkStart w:id="56" w:name="gilberdvactr49"/>
        <w:bookmarkEnd w:id="56" w:name="gilberdvactr49"/>
      </w:r>
    </w:p>
    <w:p>
      <w:pPr>
        <w:spacing w:before="240" w:after="240"/>
      </w:pPr>
      <w:r>
        <w:t xml:space="preserve">🟡 </w:t>
      </w:r>
      <w:r>
        <w:rPr>
          <w:b/>
          <w:i/>
          <w:color w:val="3A0517"/>
        </w:rPr>
        <w:t>Quote 1 - 32 Cal.App.4th 1494, 1500</w:t>
      </w:r>
    </w:p>
    <w:p>
      <w:pPr>
        <w:pStyle w:val="Quote"/>
      </w:pPr>
      <w:r>
        <w:t>circumstances where a party offers the court some fact or circumstance not previously considered and some valid reason for not offering it earlier</w:t>
      </w:r>
    </w:p>
    <w:p>
      <w:pPr>
        <w:spacing w:before="0" w:after="0"/>
      </w:pPr>
      <w:r>
        <w:t>The quote 'circumstances where a party offers the court some fact or circumstance not previously considered and some valid reason for not offering it earlier' exists in substance but is not an exact reproduction of a single sentence in Gilberd. On page 1500, Gilberd states the legislative intent was to 'restrict motions to reconsider to circumstances where a party offers the court some fact or authority that was not previously considered by it.' The quote in the document changes 'authority' to 'circumstance' and appends the 'valid reason' requirement, which is a principle discussed in Gilberd (via reference to other cases) but not part of that specific sentence.</w:t>
      </w:r>
    </w:p>
    <w:p>
      <w:pPr>
        <w:spacing w:before="240" w:after="240"/>
      </w:pPr>
      <w:r>
        <w:rPr>
          <w:b/>
          <w:i/>
          <w:color w:val="3A0517"/>
        </w:rPr>
        <w:t>Applicable Negative Treatment</w:t>
      </w:r>
    </w:p>
    <w:p>
      <w:pPr>
        <w:spacing w:before="0" w:after="0"/>
      </w:pPr>
      <w:r>
        <w:rPr>
          <w:b/>
        </w:rPr>
        <w:t>1. Le Francois v. Goel, 35 Cal. 4th 1094:</w:t>
      </w:r>
      <w:r>
        <w:t xml:space="preserve"> The California Supreme Court distinguished and limited </w:t>
      </w:r>
      <w:r>
        <w:rPr>
          <w:i/>
        </w:rPr>
        <w:t>Gilberd</w:t>
      </w:r>
      <w:r>
        <w:t xml:space="preserve">, holding that while Code of Civil Procedure section 1008 restricts a party's ability to file repetitive motions for reconsideration, it does not limit a trial court's inherent constitutional authority to reconsider its own interim rulings sua sponte. This undermines </w:t>
      </w:r>
      <w:r>
        <w:rPr>
          <w:i/>
        </w:rPr>
        <w:t>Gilberd’s</w:t>
      </w:r>
      <w:r>
        <w:t xml:space="preserve"> broader "jurisdictional" holding that the statute restricts the court's power to act.</w:t>
      </w:r>
    </w:p>
    <w:p>
      <w:pPr>
        <w:spacing w:before="0" w:after="0"/>
      </w:pPr>
      <w:r>
        <w:rPr>
          <w:b/>
        </w:rPr>
        <w:t>2. Case v. Lazben Financial, 99 Cal. App. 4th 172:</w:t>
      </w:r>
      <w:r>
        <w:t xml:space="preserve"> This case explicitly rejects </w:t>
      </w:r>
      <w:r>
        <w:rPr>
          <w:i/>
        </w:rPr>
        <w:t>Gilberd’s</w:t>
      </w:r>
      <w:r>
        <w:t xml:space="preserve"> holding that section 1008 is jurisdictional. It concludes that because courts possess inherent power to reconsider interim decisions, the statute applies only to motions brought by litigants and cannot constitutionally restrict a court’s ability to correct its own errors.</w:t>
      </w:r>
    </w:p>
    <w:p>
      <w:pPr>
        <w:spacing w:before="0" w:after="0"/>
      </w:pPr>
      <w:r>
        <w:rPr>
          <w:b/>
        </w:rPr>
        <w:t>3. Ron Burns Construction Co. v. Moore, 184 Cal. App. 4th 1406:</w:t>
      </w:r>
      <w:r>
        <w:t xml:space="preserve"> The court criticized </w:t>
      </w:r>
      <w:r>
        <w:rPr>
          <w:i/>
        </w:rPr>
        <w:t>Gilberd’s</w:t>
      </w:r>
      <w:r>
        <w:t xml:space="preserve"> "terse" reasoning and declined to follow its "jurisdictional" application of section 1008. It argued that the statute should be strictly construed because it inflicts procedural forfeitures, suggesting </w:t>
      </w:r>
      <w:r>
        <w:rPr>
          <w:i/>
        </w:rPr>
        <w:t>Gilberd</w:t>
      </w:r>
      <w:r>
        <w:t xml:space="preserve"> applied the requirements too expansively against litigants.</w:t>
      </w:r>
    </w:p>
    <w:p>
      <w:pPr>
        <w:spacing w:before="0" w:after="0"/>
      </w:pPr>
      <w:r>
        <w:rPr>
          <w:b/>
        </w:rPr>
        <w:t>4. Community Memorial Hospital v. County of Ventura, 50 Cal. App. 4th 199:</w:t>
      </w:r>
      <w:r>
        <w:t xml:space="preserve"> The court declined to follow </w:t>
      </w:r>
      <w:r>
        <w:rPr>
          <w:i/>
        </w:rPr>
        <w:t>Gilberd</w:t>
      </w:r>
      <w:r>
        <w:t xml:space="preserve"> to the extent it could be read to prevent a trial court from revisiting legal issues (such as those raised on demurrer) during a subsequent motion for summary adjudication, noting that such a restriction would result in a waste of judicial resources.</w:t>
      </w:r>
    </w:p>
    <w:p>
      <w:pPr>
        <w:spacing w:before="0" w:after="0"/>
      </w:pPr>
      <w:r>
        <w:rPr>
          <w:b/>
        </w:rPr>
        <w:t>5. People v. Castello, 65 Cal. App. 4th 1242:</w:t>
      </w:r>
      <w:r>
        <w:t xml:space="preserve"> This opinion characterizes </w:t>
      </w:r>
      <w:r>
        <w:rPr>
          <w:i/>
        </w:rPr>
        <w:t>Gilberd’s</w:t>
      </w:r>
      <w:r>
        <w:t xml:space="preserve"> statements regarding the jurisdictional nature of section 1008 as "dicta to the contrary" and asserts that the statute governs only a litigant's ability to renew a motion, not the court's inherent power to reconsider its own rulings.</w:t>
      </w:r>
    </w:p>
    <w:p>
      <w:pPr>
        <w:spacing w:before="240" w:after="240"/>
      </w:pPr>
      <w:r>
        <w:rPr>
          <w:b/>
          <w:i/>
          <w:color w:val="3A0517"/>
        </w:rPr>
        <w:t>Other Relevant Precedence</w:t>
      </w:r>
    </w:p>
    <w:p>
      <w:pPr>
        <w:spacing w:before="0" w:after="0"/>
      </w:pPr>
      <w:r>
        <w:rPr>
          <w:b/>
        </w:rPr>
        <w:t>1. Le Francois v. Goel, 35 Cal. 4th 1094:</w:t>
      </w:r>
      <w:r>
        <w:t xml:space="preserve"> This California Supreme Court case is the controlling authority regarding the scope of Code of Civil Procedure section 1008. It clarifies that while the statute limits a party's ability to file repetitive motions, it does not restrict a trial court's inherent constitutional power to reconsider its own interim rulings sua sponte, even without new facts or law, which directly impacts the "jurisdictional" interpretation of </w:t>
      </w:r>
      <w:r>
        <w:rPr>
          <w:i/>
        </w:rPr>
        <w:t>Gilberd</w:t>
      </w:r>
      <w:r>
        <w:t xml:space="preserve"> applied in the document.</w:t>
      </w:r>
    </w:p>
    <w:p>
      <w:pPr>
        <w:spacing w:before="0" w:after="0"/>
      </w:pPr>
      <w:r>
        <w:rPr>
          <w:b/>
        </w:rPr>
        <w:t>2. New York Times Co. v. Superior Court, 135 Cal. App. 4th 206:</w:t>
      </w:r>
      <w:r>
        <w:t xml:space="preserve"> Cited alongside </w:t>
      </w:r>
      <w:r>
        <w:rPr>
          <w:i/>
        </w:rPr>
        <w:t>Gilberd</w:t>
      </w:r>
      <w:r>
        <w:t xml:space="preserve"> in the document's attached Minute Order, this case provides the specific standard for "reasonable diligence" under section 1008. It holds that a moving party must provide a satisfactory explanation for failing to produce the evidence at the initial hearing, which was the primary basis for the trial court's denial of Hall's motion.</w:t>
      </w:r>
    </w:p>
    <w:p>
      <w:pPr>
        <w:spacing w:before="0" w:after="0"/>
      </w:pPr>
      <w:r>
        <w:rPr>
          <w:b/>
        </w:rPr>
        <w:t>3. Billesbach v. Specialized Loan Servicing LLC, 63 Cal. App. 5th 830:</w:t>
      </w:r>
      <w:r>
        <w:t xml:space="preserve"> This recent decision provides a modern application of the </w:t>
      </w:r>
      <w:r>
        <w:rPr>
          <w:i/>
        </w:rPr>
        <w:t>Gilberd</w:t>
      </w:r>
      <w:r>
        <w:t xml:space="preserve"> principle, affirming that reconsideration is not warranted when a party presents authorities or facts that were already available and considered by the trial court during the initial ruling.</w:t>
      </w:r>
    </w:p>
    <w:p>
      <w:pPr>
        <w:spacing w:before="0" w:after="0"/>
      </w:pPr>
      <w:r>
        <w:rPr>
          <w:b/>
        </w:rPr>
        <w:t>4. Gee v. Greyhound Lines, Inc., 6 Cal. App. 5th 477:</w:t>
      </w:r>
      <w:r>
        <w:t xml:space="preserve"> This case is highly relevant to Hall’s argument regarding "mistakenly forgotten" evidence. It distinguishes between a motion for reconsideration under section 1008 (requiring new facts) and an initial motion for relief under section 473(b) (based on counsel's mistake or inadvertence), suggesting that Hall's procedural path may have been misidentified.</w:t>
      </w:r>
    </w:p>
    <w:p>
      <w:pPr>
        <w:spacing w:before="0" w:after="0"/>
      </w:pPr>
      <w:r>
        <w:rPr>
          <w:b/>
        </w:rPr>
        <w:t>5. Standard Microsystems Corp. v. Winbond Electronics Corp., 179 Cal. App. 4th 868:</w:t>
      </w:r>
      <w:r>
        <w:t xml:space="preserve"> This case criticizes the expansive "jurisdictional" reasoning found in </w:t>
      </w:r>
      <w:r>
        <w:rPr>
          <w:i/>
        </w:rPr>
        <w:t>Gilberd</w:t>
      </w:r>
      <w:r>
        <w:t>. It argues that section 1008 should be strictly construed to avoid unnecessary procedural forfeitures, which supports Hall's broader argument that the trial court abused its discretion by prioritizing procedural technicalities over the merits of his evidence.</w:t>
      </w:r>
    </w:p>
    <w:p>
      <w:r>
        <w:br w:type="page"/>
      </w:r>
    </w:p>
    <w:p>
      <w:pPr>
        <w:spacing w:before="0" w:after="0"/>
      </w:pPr>
      <w:r/>
      <w:hyperlink w:anchor="accurate">
        <w:r>
          <w:rPr/>
          <w:t xml:space="preserve">↑ Triage</w:t>
        </w:r>
      </w:hyperlink>
    </w:p>
    <w:p>
      <w:pPr>
        <w:pStyle w:val="Heading3"/>
      </w:pPr>
      <w:r>
        <w:bookmarkStart w:id="57" w:name="thenewyorkti50"/>
        <w:bookmarkEnd w:id="57" w:name="thenewyorkti50"/>
      </w:r>
      <w:r>
        <w:t>The New York Times Co. v. Superior Court 135 Cal.App.4th 206</w:t>
      </w:r>
    </w:p>
    <w:p>
      <w:pPr>
        <w:spacing w:before="240" w:after="240"/>
      </w:pPr>
      <w:r>
        <w:rPr>
          <w:b/>
          <w:i/>
          <w:color w:val="3A0517"/>
        </w:rPr>
        <w:t>Use of Citation</w:t>
      </w:r>
      <w:r>
        <w:t xml:space="preserve"> 🟢</w:t>
      </w:r>
    </w:p>
    <w:p>
      <w:pPr>
        <w:spacing w:before="0" w:after="0"/>
      </w:pPr>
      <w:r>
        <w:t>In APPELLANT Hall, Anthony Jama OPENING BRIEF On The MERITS, the case of The New York Times Co. v. Superior Court (2005) 135 Cal.App.4th 206 is cited within a March 1, 2023, Minute Order from the Sacramento Superior Court, which is included as an attachment to the brief (p. 37). The court cites the case to establish the legal rules governing motions for reconsideration under Code of Civil Procedure section 1008. Specifically, it is used to support the propositions that a party seeking reconsideration must base the motion "upon newly discovered facts, circumstances, or law" and must provide "a satisfactory explanation for the failure to make the showing at or before the time the challenged order was issued" (p. 37). Furthermore, the court cites the case for the rule that the information provided "must be such that the moving party could not, with reasonable diligence, have discovered or produced it" (p. 37). In the context of the document, the trial court applied these rules to Hall's motion for reconsideration regarding his late claim petition. The court interpreted the legal reasoning from The New York Times Co. v. Superior Court as requiring a strict showing of diligence and new information. The court directly applied these concepts to deny Hall's motion, concluding that he cited no new case law or facts and failed to explain why the information could not have been produced earlier with reasonable diligence (p. 37).</w:t>
      </w:r>
    </w:p>
    <w:p>
      <w:pPr>
        <w:spacing w:before="240" w:after="240"/>
      </w:pPr>
      <w:r>
        <w:rPr>
          <w:b/>
          <w:i/>
          <w:color w:val="3A0517"/>
        </w:rPr>
        <w:t>Accuracy Review</w:t>
      </w:r>
    </w:p>
    <w:p>
      <w:pPr>
        <w:spacing w:before="0" w:after="0"/>
      </w:pPr>
      <w:r>
        <w:t>The citation is a highly accurate application of the legal principles from The New York Times Co. v. Superior Court. The trial court correctly identified the case as the controlling authority for the 'reasonable diligence' and 'satisfactory explanation' standards required for a motion for reconsideration under Code of Civil Procedure section 1008. The application is contextually appropriate as it addresses a party's attempt to introduce evidence after an adverse ruling without justifying the prior omission, which is the exact scenario addressed in the New York Times decision. There are no mischaracterizations or overextensions; the court uses the case to enforce the procedural rigor intended by the legislature and the appellate courts.</w:t>
      </w:r>
    </w:p>
    <w:p>
      <w:pPr>
        <w:spacing w:before="240" w:after="240"/>
      </w:pPr>
      <w:r>
        <w:rPr>
          <w:b/>
          <w:i/>
          <w:color w:val="3A0517"/>
        </w:rPr>
        <w:t>Use of Quotes</w:t>
      </w:r>
      <w:r>
        <w:bookmarkStart w:id="58" w:name="thenewyorkti51"/>
        <w:bookmarkEnd w:id="58" w:name="thenewyorkti51"/>
      </w:r>
    </w:p>
    <w:p>
      <w:pPr>
        <w:spacing w:before="240" w:after="240"/>
      </w:pPr>
      <w:r>
        <w:t xml:space="preserve">🟢 </w:t>
      </w:r>
      <w:r>
        <w:rPr>
          <w:b/>
          <w:i/>
          <w:color w:val="3A0517"/>
        </w:rPr>
        <w:t>Quote 1 - 135 Cal.App.4th 206, 208</w:t>
      </w:r>
    </w:p>
    <w:p>
      <w:pPr>
        <w:pStyle w:val="Quote"/>
      </w:pPr>
      <w:r>
        <w:t>upon newly discovered facts, circumstances, or law</w:t>
      </w:r>
    </w:p>
    <w:p>
      <w:pPr>
        <w:spacing w:before="0" w:after="0"/>
      </w:pPr>
      <w:r>
        <w:t>The quote 'upon newly discovered facts, circumstances, or law' exists in substance on page 208, though the literal text in the opinion is 'new or different facts, circumstances, or law.' However, the court explicitly adopts the 'newly discovered' standard on pages 212-213, making the quote contextually accurate and a faithful representation of the court's holding.</w:t>
      </w:r>
    </w:p>
    <w:p>
      <w:pPr>
        <w:spacing w:before="240" w:after="240"/>
      </w:pPr>
      <w:r>
        <w:t xml:space="preserve">🟢 </w:t>
      </w:r>
      <w:r>
        <w:rPr>
          <w:b/>
          <w:i/>
          <w:color w:val="3A0517"/>
        </w:rPr>
        <w:t>Quote 1 - 135 Cal.App.4th 206, 208</w:t>
      </w:r>
    </w:p>
    <w:p>
      <w:pPr>
        <w:pStyle w:val="Quote"/>
      </w:pPr>
      <w:r>
        <w:t>a satisfactory explanation for the failure to make the showing at or before the time the challenged order was issued</w:t>
      </w:r>
    </w:p>
    <w:p>
      <w:pPr>
        <w:spacing w:before="0" w:after="0"/>
      </w:pPr>
      <w:r>
        <w:t>The quote 'a satisfactory explanation for the failure to make the showing at or before the time the challenged order was issued' is an exact and complete reproduction of the text found on page 208 of the opinion. It is used in a contextually complete manner to describe the second requirement of CCP 1008.</w:t>
      </w:r>
    </w:p>
    <w:p>
      <w:pPr>
        <w:spacing w:before="240" w:after="240"/>
      </w:pPr>
      <w:r>
        <w:t xml:space="preserve">🟢 </w:t>
      </w:r>
      <w:r>
        <w:rPr>
          <w:b/>
          <w:i/>
          <w:color w:val="3A0517"/>
        </w:rPr>
        <w:t>Quote 1 - 135 Cal.App.4th 206, 213</w:t>
      </w:r>
    </w:p>
    <w:p>
      <w:pPr>
        <w:pStyle w:val="Quote"/>
      </w:pPr>
      <w:r>
        <w:t>The information must be such that the moving party could not, with reasonable diligence, have discovered or produced it</w:t>
      </w:r>
    </w:p>
    <w:p>
      <w:pPr>
        <w:spacing w:before="0" w:after="0"/>
      </w:pPr>
      <w:r>
        <w:t>The quote 'The information must be such that the moving party could not, with reasonable diligence, have discovered or produced it' exists on page 213. It is an accurate reproduction of the court's definition of the diligence standard, omitting only the concluding phrase 'at the trial,' which does not alter the meaning in this context.</w:t>
      </w:r>
    </w:p>
    <w:p>
      <w:pPr>
        <w:spacing w:before="240" w:after="240"/>
      </w:pPr>
      <w:r>
        <w:rPr>
          <w:b/>
          <w:i/>
          <w:color w:val="3A0517"/>
        </w:rPr>
        <w:t>Applicable Negative Treatment</w:t>
      </w:r>
    </w:p>
    <w:p>
      <w:pPr>
        <w:spacing w:before="0" w:after="0"/>
      </w:pPr>
      <w:r>
        <w:rPr>
          <w:b/>
        </w:rPr>
        <w:t>1. Standard Microsystems Corp. v. Winbond Electronics Corp., 179 Cal. App. 4th 868:</w:t>
      </w:r>
      <w:r>
        <w:t xml:space="preserve"> This court limited the application of </w:t>
      </w:r>
      <w:r>
        <w:rPr>
          <w:i/>
        </w:rPr>
        <w:t>New York Times</w:t>
      </w:r>
      <w:r>
        <w:t>, declining to follow its "categorical requirement" of diligence. It held that such a requirement is a "court-made" rule that cannot be found in the plain language of Code of Civil Procedure section 1008 and should not be used to deny relief where other statutory protections (such as attorney fault under section 473(b)) might apply.</w:t>
      </w:r>
    </w:p>
    <w:p>
      <w:pPr>
        <w:spacing w:before="0" w:after="0"/>
      </w:pPr>
      <w:r>
        <w:rPr>
          <w:b/>
        </w:rPr>
        <w:t>2. California Correctional Peace Officers Assn. v. Virga, 181 Cal. App. 4th 30:</w:t>
      </w:r>
      <w:r>
        <w:t xml:space="preserve"> This case criticized the "court-made" diligence requirement established in </w:t>
      </w:r>
      <w:r>
        <w:rPr>
          <w:i/>
        </w:rPr>
        <w:t>New York Times</w:t>
      </w:r>
      <w:r>
        <w:t>, noting that it attributes a meaning and effect to section 1008 that is absent from the statutory text. This limits the authority of the strict diligence standard used in the document to deny the motion for reconsideration.</w:t>
      </w:r>
    </w:p>
    <w:p>
      <w:pPr>
        <w:spacing w:before="0" w:after="0"/>
      </w:pPr>
      <w:r>
        <w:rPr>
          <w:b/>
        </w:rPr>
        <w:t>3. Barthold v. Barthold, 158 Cal. App. 4th 1301:</w:t>
      </w:r>
      <w:r>
        <w:t xml:space="preserve"> This court distinguished </w:t>
      </w:r>
      <w:r>
        <w:rPr>
          <w:i/>
        </w:rPr>
        <w:t>New York Times</w:t>
      </w:r>
      <w:r>
        <w:t xml:space="preserve"> by emphasizing a trial court's inherent authority to reconsider and correct an erroneous interim ruling on its own motion. This limits the document's reliance on </w:t>
      </w:r>
      <w:r>
        <w:rPr>
          <w:i/>
        </w:rPr>
        <w:t>New York Times</w:t>
      </w:r>
      <w:r>
        <w:t xml:space="preserve"> to suggest that a court is strictly forbidden from granting reconsideration if the moving party fails the section 1008 diligence test, provided the court recognizes its own error.</w:t>
      </w:r>
    </w:p>
    <w:p>
      <w:pPr>
        <w:spacing w:before="240" w:after="240"/>
      </w:pPr>
      <w:r>
        <w:rPr>
          <w:b/>
          <w:i/>
          <w:color w:val="3A0517"/>
        </w:rPr>
        <w:t>Other Relevant Precedence</w:t>
      </w:r>
    </w:p>
    <w:p>
      <w:pPr>
        <w:spacing w:before="0" w:after="0"/>
      </w:pPr>
      <w:r>
        <w:rPr>
          <w:b/>
        </w:rPr>
        <w:t>1. Yolo County Department of Child Support Services v. Myers, 248 Cal. App. 4th 42:</w:t>
      </w:r>
      <w:r>
        <w:t xml:space="preserve"> This Third Appellate District case provides a direct jurisdictional match for the requirement that a party seeking reconsideration under Code of Civil Procedure section 1008 must provide a satisfactory explanation for the failure to produce evidence at an earlier time.</w:t>
      </w:r>
    </w:p>
    <w:p>
      <w:pPr>
        <w:spacing w:before="0" w:after="0"/>
      </w:pPr>
      <w:r>
        <w:rPr>
          <w:b/>
        </w:rPr>
        <w:t>2. Simonyan v. Nationwide Ins. Co., 78 Cal.App.5th 889:</w:t>
      </w:r>
      <w:r>
        <w:t xml:space="preserve"> This Third Appellate District case confirms that a trial court's ruling on a motion for reconsideration is reviewed under the abuse of discretion standard, providing local precedent for the standard of review applied to the order discussed in the brief.</w:t>
      </w:r>
    </w:p>
    <w:p>
      <w:pPr>
        <w:spacing w:before="0" w:after="0"/>
      </w:pPr>
      <w:r>
        <w:rPr>
          <w:b/>
        </w:rPr>
        <w:t>3. Dickson v. Mann, 103 Cal.App.5th 935:</w:t>
      </w:r>
      <w:r>
        <w:t xml:space="preserve"> This recent 2024 decision reaffirms the standard that the burden for reconsideration is comparable to that of a motion for a new trial, requiring the moving party to show that the information could not have been discovered or produced earlier through the exercise of reasonable diligence.</w:t>
      </w:r>
    </w:p>
    <w:p>
      <w:pPr>
        <w:spacing w:before="0" w:after="0"/>
      </w:pPr>
      <w:r>
        <w:rPr>
          <w:b/>
        </w:rPr>
        <w:t>4. California Correctional Peace Officers Assn. v. Virga, 181 Cal.App.4th 30:</w:t>
      </w:r>
      <w:r>
        <w:t xml:space="preserve"> This case is highly relevant as it discusses the "court-made" nature of the diligence requirement embodied in the </w:t>
      </w:r>
      <w:r>
        <w:rPr>
          <w:i/>
        </w:rPr>
        <w:t>New York Times</w:t>
      </w:r>
      <w:r>
        <w:t xml:space="preserve"> decision, which could be pertinent to the appellant's challenge of the trial court's strict application of that requirement.</w:t>
      </w:r>
    </w:p>
    <w:p>
      <w:pPr>
        <w:spacing w:before="0" w:after="0"/>
      </w:pPr>
      <w:r>
        <w:rPr>
          <w:b/>
        </w:rPr>
        <w:t>5. Barthold v. Barthold, 158 Cal. App. 4th 1301:</w:t>
      </w:r>
      <w:r>
        <w:t xml:space="preserve"> This case distinguishes the strict requirements of section 1008 from a trial court's inherent authority to correct its own erroneous interim rulings, a distinction that may be relevant to the appellant's arguments regarding the trial court's ministerial duties and discretion.</w:t>
      </w:r>
    </w:p>
    <w:p>
      <w:r>
        <w:br w:type="page"/>
      </w:r>
    </w:p>
    <w:p>
      <w:pPr>
        <w:spacing w:before="0" w:after="0"/>
      </w:pPr>
      <w:r/>
      <w:hyperlink w:anchor="accurate">
        <w:r>
          <w:rPr/>
          <w:t xml:space="preserve">↑ Triage</w:t>
        </w:r>
      </w:hyperlink>
    </w:p>
    <w:p>
      <w:pPr>
        <w:pStyle w:val="Heading3"/>
      </w:pPr>
      <w:r>
        <w:bookmarkStart w:id="59" w:name="codeofcivilp52"/>
        <w:bookmarkEnd w:id="59" w:name="codeofcivilp52"/>
      </w:r>
      <w:r>
        <w:t>Code of Civil Procedure § 170.3</w:t>
      </w:r>
    </w:p>
    <w:p>
      <w:pPr>
        <w:spacing w:before="240" w:after="240"/>
      </w:pPr>
      <w:r>
        <w:rPr>
          <w:b/>
          <w:i/>
          <w:color w:val="3A0517"/>
        </w:rPr>
        <w:t>Use of Citation</w:t>
      </w:r>
      <w:r>
        <w:t xml:space="preserve"> 🟢</w:t>
      </w:r>
    </w:p>
    <w:p>
      <w:pPr>
        <w:spacing w:before="0" w:after="0"/>
      </w:pPr>
      <w:r>
        <w:t>In the Opening Brief on the Merits, Anthony Jama Hall cites CA Code of Civil Procedure section 170.3 to support the proposition that a judicial officer may be challenged for cause when they demonstrate bias or prejudice (p. 9, 27, 31). The statute is used to argue that Judge Christopher Krueger should have been disqualified because he allegedly failed to perform ministerial duties, specifically by refusing to accept evidence of Hall's timely filed government claim (p. 27, 31). Hall employs analogical reasoning by citing Lightfoot v. Superior Court (1991) 235 Cal.App.3d 505, which holds that a judge's failure to follow the law is a valid ground for a section 170.3 challenge, and Baird v. Superior Court (1990) 219 Cal.App.3d 244, which states that bias can be inferred from a judge's actions (p. 31). Hall interprets the statutory rules of section 170.3 as providing an 'adequate remedy by way of a Writ of Mandate' rather than a direct appeal when a challenge for cause is denied (p. 27). He asserts that the trial court's refusal to disqualify the judge under this section, despite evidence of 'improper conduct' and 'unfair treatment,' constituted a violation of his constitutional right to a fair and impartial hearing (p. 31, 34).</w:t>
      </w:r>
    </w:p>
    <w:p>
      <w:pPr>
        <w:spacing w:before="240" w:after="240"/>
      </w:pPr>
      <w:r>
        <w:rPr>
          <w:b/>
          <w:i/>
          <w:color w:val="3A0517"/>
        </w:rPr>
        <w:t>Accuracy Review</w:t>
      </w:r>
    </w:p>
    <w:p>
      <w:pPr>
        <w:spacing w:before="0" w:after="0"/>
      </w:pPr>
      <w:r>
        <w:t>The citation of CA Code of Civil Procedure section 170.3 in the document is an accurate application of the law. Hall correctly identifies the procedural mechanism for a challenge for cause under section 170.3(c)(1) and, more importantly, accurately characterizes the exclusive remedy provision found in section 170.3(d). By stating that a writ of mandate, rather than a direct appeal, is the 'adequate remedy' for a disqualification challenge, Hall demonstrates a precise understanding of the statute's jurisdictional limitations. While the underlying merits of his bias claim (predicated on the judge's refusal to accept evidence) may be substantively difficult to prove, his description of the statutory framework for seeking review of such a denial is technically correct and contextually appropriate. He also correctly notes the requirement for a verified statement and the non-appealable nature of the order, aligning his procedural strategy with the strict requirements of the California Code of Civil Procedure.</w:t>
      </w:r>
    </w:p>
    <w:p>
      <w:r>
        <w:br w:type="page"/>
      </w:r>
    </w:p>
    <w:p>
      <w:pPr>
        <w:spacing w:before="0" w:after="0"/>
      </w:pPr>
      <w:r/>
      <w:hyperlink w:anchor="accurate">
        <w:r>
          <w:rPr/>
          <w:t xml:space="preserve">↑ Triage</w:t>
        </w:r>
      </w:hyperlink>
    </w:p>
    <w:p>
      <w:pPr>
        <w:pStyle w:val="Heading3"/>
      </w:pPr>
      <w:r>
        <w:bookmarkStart w:id="60" w:name="penalcode15385"/>
        <w:bookmarkEnd w:id="60" w:name="penalcode15385"/>
      </w:r>
      <w:r>
        <w:t>Penal Code § 1538.5</w:t>
      </w:r>
    </w:p>
    <w:p>
      <w:pPr>
        <w:spacing w:before="240" w:after="240"/>
      </w:pPr>
      <w:r>
        <w:rPr>
          <w:b/>
          <w:i/>
          <w:color w:val="3A0517"/>
        </w:rPr>
        <w:t>Use of Citation</w:t>
      </w:r>
      <w:r>
        <w:t xml:space="preserve"> 🟢</w:t>
      </w:r>
    </w:p>
    <w:p>
      <w:pPr>
        <w:spacing w:before="0" w:after="0"/>
      </w:pPr>
      <w:r>
        <w:t>In the document 'APPELLANT Hall, Anthony Jama OPENING BRIEF On The MERITS', CA Penal Code section 1538.5 is cited to establish the procedural history of the appellant's underlying criminal case and to support his claim of diligence in pursuing legal remedies. The statute is used to support the proposition that a defendant in a criminal proceeding has a legal mechanism to move for the suppression of evidence obtained through an unlawful search or seizure (p. 12, 30). The precise context of the citation relates to Hall's criminal case (Case No. 19MI000678), where he asserts that his property was 'seized, searched, and towed without the Appellant, Petitioner, Plaintiff Consent' and 'Without a Warrant' (p. 10). Hall explains that he 'caused to be filed and submitted in the Criminal Case' a 'Motion to Suppress Evidence Pursuant to CA Penal Code § 1538.5' (p. 12). This motion, along with a Pitchess motion, is cited as a key procedural step that led to the eventual dismissal of his criminal charges 'in the Interest of Justice' on February 28, 2020 (p. 12, 30). The document interprets the statutory rules of section 1538.5 as a means for the 'Suppression of Unlawfully / Illegally Obtained Evidence' (p. 30). Hall employs analogical reasoning to argue that his active use of this statute during the criminal phase demonstrates his commitment to 'Redress of Grievances' and that the subsequent civil litigation is a continuation of his efforts to address 'Constitutional and Civil Rights Violations' (p. 25, 30). The citation to section 1538.5 must be considered alongside 'Pitchess v. Superior Court 11 Cal.3d 531 (1974)' (p. 12), as Hall presents these two authorities together as the primary legal tools that secured the dismissal of his criminal case, which in turn triggered the accrual date for his government tort claims (p. 30).</w:t>
      </w:r>
    </w:p>
    <w:p>
      <w:pPr>
        <w:spacing w:before="240" w:after="240"/>
      </w:pPr>
      <w:r>
        <w:rPr>
          <w:b/>
          <w:i/>
          <w:color w:val="3A0517"/>
        </w:rPr>
        <w:t>Accuracy Review</w:t>
      </w:r>
    </w:p>
    <w:p>
      <w:pPr>
        <w:spacing w:before="0" w:after="0"/>
      </w:pPr>
      <w:r>
        <w:t>The citation to CA Penal Code section 1538.5 is contextually accurate and technically sound within the scope of the document's procedural narrative. Hall correctly identifies the statute as the vehicle for a 'Motion for Suppression of Unlawfully / Illegally Obtained Evidence' and applies it to his specific factual scenario involving a warrantless search and seizure of his vehicle. There is no evidence of technical misapplication; he uses the statute for its intended purpose: to litigate the validity of a search in a criminal proceeding. While the document is a civil opening brief, the reference to 1538.5 is not an overextension because it is used to provide necessary background on how the underlying criminal case terminated in his favor, which is a prerequisite for his malicious prosecution and civil rights claims. The citation is complete in that it acknowledges the motion was heard prior to the dismissal 'in the Interest of Justice.' However, the document's reliance on this citation is limited to establishing 'due diligence' and the timeline of events; it does not attempt to relitigate the suppression issue itself in the appellate court, staying within appropriate procedural boundaries.</w:t>
      </w:r>
    </w:p>
    <w:p>
      <w:r>
        <w:br w:type="page"/>
      </w:r>
    </w:p>
    <w:p>
      <w:pPr>
        <w:spacing w:before="0" w:after="0"/>
      </w:pPr>
      <w:r/>
      <w:hyperlink w:anchor="accurate">
        <w:r>
          <w:rPr/>
          <w:t xml:space="preserve">↑ Triage</w:t>
        </w:r>
      </w:hyperlink>
    </w:p>
    <w:p>
      <w:pPr>
        <w:pStyle w:val="Heading3"/>
      </w:pPr>
      <w:r>
        <w:bookmarkStart w:id="61" w:name="penalcode148"/>
        <w:bookmarkEnd w:id="61" w:name="penalcode148"/>
      </w:r>
      <w:r>
        <w:t>Penal Code § 148</w:t>
      </w:r>
    </w:p>
    <w:p>
      <w:pPr>
        <w:spacing w:before="240" w:after="240"/>
      </w:pPr>
      <w:r>
        <w:rPr>
          <w:b/>
          <w:i/>
          <w:color w:val="3A0517"/>
        </w:rPr>
        <w:t>Use of Citation</w:t>
      </w:r>
      <w:r>
        <w:t xml:space="preserve"> 🟢</w:t>
      </w:r>
    </w:p>
    <w:p>
      <w:pPr>
        <w:spacing w:before="0" w:after="0"/>
      </w:pPr>
      <w:r>
        <w:t>In the document, CA Penal Code section 148 is cited to establish the specific criminal charge that initiated the legal saga leading to this appeal. The document uses the statute to support the factual proposition that Anthony Jama Hall was arrested and charged with 'resisting or obstructing a peace officer' (p. 10). The precise context of the citation is found in the 'Procedural History (Statement of the Case),' where Hall describes his arrest on December 28, 2018, by the Sacramento County Sheriff's Department and Officer Black (p. 10). Hall asserts that this arrest was 'false' and part of a 'Tragic Sequence of Events' involving 'malicious prosecution' (p. 6, 10). The document notes that the criminal case (Case No. 19MI000678) was eventually 'Dismissed in Favor of Appellant' on February 28, 2020 (p. 6, 12). The interpretation of the statutory rules from section 148 is not extensively discussed in a legal sense; rather, the citation serves as a factual anchor for Hall's civil claims. Hall argues that the dismissal of the section 148 charge triggered his right to seek redress for civil rights violations under 42 U.S.C. § 1983(5) (p. 7, 12). The document employs analogical reasoning by linking the dismissal of the criminal charge to the accrual date for his government tort claim, arguing that he had one year from the February 28, 2020 dismissal to file for relief from the Government Claims Act (p. 6, 30). Other legal authorities considered in this context include CA Penal Code § 1538.5 (motion to suppress) and Pitchess v. Superior Court, which Hall utilized during the criminal proceedings to obtain the dismissal of the section 148 charge (p. 12, 30).</w:t>
      </w:r>
    </w:p>
    <w:p>
      <w:pPr>
        <w:spacing w:before="240" w:after="240"/>
      </w:pPr>
      <w:r>
        <w:rPr>
          <w:b/>
          <w:i/>
          <w:color w:val="3A0517"/>
        </w:rPr>
        <w:t>Accuracy Review</w:t>
      </w:r>
    </w:p>
    <w:p>
      <w:pPr>
        <w:spacing w:before="0" w:after="0"/>
      </w:pPr>
      <w:r>
        <w:t>The document accurately cites CA Penal Code section 148(a)(1) within its appropriate factual and procedural boundaries. The appellant uses the statute to correctly identify the charge of 'resisting or obstructing a peace officer' that was filed against him in the underlying criminal case (No. 19MI000678). There are no technical misapplications or contextual overextensions, as the appellant does not attempt to interpret the elements of the crime itself, but rather references the charge to establish the basis for his malicious prosecution and civil rights claims following its dismissal. The citation is complete for its intended purpose of providing factual background, and it aligns with standard legal practice of identifying the specific statutory basis of a prior arrest when seeking redress for that arrest. The reliance on other laws, such as the Government Claims Act and the California Constitution, is necessary to understand the broader legal strategy, but it does not detract from the accuracy of the section 148 citation.</w:t>
      </w:r>
    </w:p>
    <w:p>
      <w:r>
        <w:br w:type="page"/>
      </w:r>
    </w:p>
    <w:p>
      <w:pPr>
        <w:spacing w:before="0" w:after="0"/>
      </w:pPr>
      <w:r/>
      <w:hyperlink w:anchor="accurate">
        <w:r>
          <w:rPr/>
          <w:t xml:space="preserve">↑ Triage</w:t>
        </w:r>
      </w:hyperlink>
    </w:p>
    <w:p>
      <w:pPr>
        <w:pStyle w:val="Heading3"/>
      </w:pPr>
      <w:r>
        <w:bookmarkStart w:id="62" w:name="evidencecode452"/>
        <w:bookmarkEnd w:id="62" w:name="evidencecode452"/>
      </w:r>
      <w:r>
        <w:t>Evidence Code § 452</w:t>
      </w:r>
    </w:p>
    <w:p>
      <w:pPr>
        <w:spacing w:before="240" w:after="240"/>
      </w:pPr>
      <w:r>
        <w:rPr>
          <w:b/>
          <w:i/>
          <w:color w:val="3A0517"/>
        </w:rPr>
        <w:t>Use of Citation</w:t>
      </w:r>
      <w:r>
        <w:t xml:space="preserve"> 🟢</w:t>
      </w:r>
    </w:p>
    <w:p>
      <w:pPr>
        <w:spacing w:before="0" w:after="0"/>
      </w:pPr>
      <w:r>
        <w:t>The document cites CA Evidence Code section 452 within an attached Minute Order from the Sacramento Superior Court, Department 54, dated March 1, 2023 (p. 37). The statute is cited in the context of a request for judicial notice. Specifically, the document references a filing by Anthony Jama Hall titled 'Notice of for [sic] the trial court to take judicial notice of the below described Filed / En-dorsed Pleadings, Filed in the herein Pending Government Tort Claims Cause of Action Pursuant to CA Evid. Code §§451, 452, 453' (p. 37). The legal rule supported by this citation is the authority of a court to take judicial notice of records of any court of this state, which is a permissive category of judicial notice under section 452. In the context of the brief, this citation is used to illustrate the procedural history where Hall attempted to have the trial court acknowledge specific court records and pleadings to support his claims (p. 37). The trial court, however, interpreted the application of the rule by stating it 'did not consider' the notice because the pleadings were 'not material to the Court's disposition of the motion' for reconsideration (p. 37). This rejection of evidence is a central theme of Hall's appeal, as he argues the court committed an abuse of discretion and violated his due process rights by 'Ignoring the Appellant's evidence' (p. 9, 27) and failing to perform its 'Ministerial Duty' to accept and consider relevant documentation (p. 23-24).</w:t>
      </w:r>
    </w:p>
    <w:p>
      <w:pPr>
        <w:spacing w:before="240" w:after="240"/>
      </w:pPr>
      <w:r>
        <w:rPr>
          <w:b/>
          <w:i/>
          <w:color w:val="3A0517"/>
        </w:rPr>
        <w:t>Accuracy Review</w:t>
      </w:r>
    </w:p>
    <w:p>
      <w:pPr>
        <w:spacing w:before="0" w:after="0"/>
      </w:pPr>
      <w:r>
        <w:t>The citation to CA Evidence Code section 452 is an accurate application of the law regarding the procedural mechanism for requesting judicial notice of court records. Hall correctly identifies section 452 as the authority allowing a court to recognize 'Filed / En-dorsed Pleadings' from related proceedings. There is no technical misapplication or contextual overextension in the citation itself, as court records are a primary category of information covered by the statute. While Hall argues that the court's refusal to grant the request was a failure of a 'ministerial duty,' this argument relies on the interplay between section 452 and section 453 (which mandates notice upon proper request). The trial court's rejection of the evidence based on a lack of 'materiality' is a separate evidentiary determination that does not invalidate the technical accuracy of Hall's citation to the permissive notice statute.</w:t>
      </w:r>
    </w:p>
    <w:p>
      <w:r>
        <w:br w:type="page"/>
      </w:r>
    </w:p>
    <w:p>
      <w:pPr>
        <w:spacing w:before="0" w:after="0"/>
      </w:pPr>
      <w:r/>
      <w:hyperlink w:anchor="accurate">
        <w:r>
          <w:rPr/>
          <w:t xml:space="preserve">↑ Triage</w:t>
        </w:r>
      </w:hyperlink>
    </w:p>
    <w:p>
      <w:pPr>
        <w:pStyle w:val="Heading3"/>
      </w:pPr>
      <w:r>
        <w:bookmarkStart w:id="63" w:name="codeofcivilp56"/>
        <w:bookmarkEnd w:id="63" w:name="codeofcivilp56"/>
      </w:r>
      <w:r>
        <w:t>Code of Civil Procedure § 1008</w:t>
      </w:r>
    </w:p>
    <w:p>
      <w:pPr>
        <w:spacing w:before="240" w:after="240"/>
      </w:pPr>
      <w:r>
        <w:rPr>
          <w:b/>
          <w:i/>
          <w:color w:val="3A0517"/>
        </w:rPr>
        <w:t>Use of Citation</w:t>
      </w:r>
      <w:r>
        <w:t xml:space="preserve"> 🟢</w:t>
      </w:r>
    </w:p>
    <w:p>
      <w:pPr>
        <w:spacing w:before="0" w:after="0"/>
      </w:pPr>
      <w:r>
        <w:t>The document cites CA Code of Civil Procedure section 1008 to establish the legal requirements for a motion for reconsideration within the context of the trial court's denial of the appellant's request for relief (p. 37). Specifically, the statute is used to support the proposition that a party seeking reconsideration must provide an affidavit detailing "what application was made before, when and to what judge, what order or decisions were made, and what new or different facts, circumstances, or law are claimed to be shown" (p. 37). The citation appears in an attached Minute Order from the related trial court case (No. 34-2022-00322068), where the court interpreted the statute as a restrictive measure intended to limit reconsideration to instances where a party offers "some fact or circumstance not previously considered and some valid reason for not offering it earlier" (p. 37). The court employed analogical reasoning by citing 'The New York Times Co. v. Superior Court' (2005) and 'Gilberd v. AC Transit' (1995) to emphasize that the moving party must demonstrate "reasonable diligence" in discovering the new information (p. 37). Ultimately, the court interpreted section 1008 as a jurisdictional bar, noting that no subsequent order "may be considered by any judge or court unless made according to this section," and concluded that Hall's motion failed because it merely recited previously disclosed facts and cited old case law (p. 37).</w:t>
      </w:r>
    </w:p>
    <w:p>
      <w:pPr>
        <w:spacing w:before="240" w:after="240"/>
      </w:pPr>
      <w:r>
        <w:rPr>
          <w:b/>
          <w:i/>
          <w:color w:val="3A0517"/>
        </w:rPr>
        <w:t>Accuracy Review</w:t>
      </w:r>
    </w:p>
    <w:p>
      <w:pPr>
        <w:spacing w:before="0" w:after="0"/>
      </w:pPr>
      <w:r>
        <w:t>The citation to CCP 1008 in the document's attached Minute Order is an accurate application of the law. The court correctly identifies the procedural and jurisdictional boundaries of the statute, noting that subdivision (e) makes compliance mandatory for a court to have jurisdiction to reconsider an order. The court's analysis of Hall's motion correctly identifies technical failures, such as the lack of a signed affidavit under penalty of perjury and the failure to provide a satisfactory explanation for why the 'new' evidence was not produced earlier (the reasonable diligence standard). The application of CCP 12a to determine the timeliness of the motion demonstrates a thorough understanding of the procedural framework surrounding CCP 1008. There is no evidence of contextual overextension or mischaracterization; the court applies the statute exactly as intended by the legislature to prevent repetitive litigation without a showing of changed circumstances.</w:t>
      </w:r>
    </w:p>
    <w:p>
      <w:pPr>
        <w:spacing w:before="240" w:after="240"/>
      </w:pPr>
      <w:r>
        <w:rPr>
          <w:b/>
          <w:i/>
          <w:color w:val="3A0517"/>
        </w:rPr>
        <w:t>Use of Quotes</w:t>
      </w:r>
      <w:r>
        <w:bookmarkStart w:id="64" w:name="codeofcivilp57"/>
        <w:bookmarkEnd w:id="64" w:name="codeofcivilp57"/>
      </w:r>
    </w:p>
    <w:p>
      <w:pPr>
        <w:spacing w:before="240" w:after="240"/>
      </w:pPr>
      <w:r>
        <w:t xml:space="preserve">🟢 </w:t>
      </w:r>
      <w:r>
        <w:rPr>
          <w:b/>
          <w:i/>
          <w:color w:val="3A0517"/>
        </w:rPr>
        <w:t>Quote 1 - Code of Civil Procedure § 1008</w:t>
      </w:r>
    </w:p>
    <w:p>
      <w:pPr>
        <w:pStyle w:val="Quote"/>
      </w:pPr>
      <w:r>
        <w:t>may be considered by any judge or court unless made according to this section.</w:t>
      </w:r>
    </w:p>
    <w:p>
      <w:pPr>
        <w:spacing w:before="0" w:after="0"/>
      </w:pPr>
      <w:r>
        <w:t>The quote 'may be considered by any judge or court unless made according to this section' exists verbatim in CCP 1008(e). It is accurate and contextually complete as it conveys the jurisdictional limitation the statute places on courts.</w:t>
      </w:r>
    </w:p>
    <w:p>
      <w:pPr>
        <w:spacing w:before="240" w:after="240"/>
      </w:pPr>
      <w:r>
        <w:t xml:space="preserve">🟢 </w:t>
      </w:r>
      <w:r>
        <w:rPr>
          <w:b/>
          <w:i/>
          <w:color w:val="3A0517"/>
        </w:rPr>
        <w:t>Quote 2 - Code of Civil Procedure § 1008</w:t>
      </w:r>
    </w:p>
    <w:p>
      <w:pPr>
        <w:pStyle w:val="Quote"/>
      </w:pPr>
      <w:r>
        <w:t>what application was made before, when and to what judge, what order or decisions were made, and what new or different facts, circumstances, or law are claimed to be shown.</w:t>
      </w:r>
    </w:p>
    <w:p>
      <w:pPr>
        <w:spacing w:before="0" w:after="0"/>
      </w:pPr>
      <w:r>
        <w:t>The quote 'what application was made before, when and to what judge, what order or decisions were made, and what new or different facts, circumstances, or law are claimed to be shown' exists in CCP 1008(a). It is accurate and contextually complete.</w:t>
      </w:r>
    </w:p>
    <w:p>
      <w:r>
        <w:br w:type="page"/>
      </w:r>
    </w:p>
    <w:p>
      <w:pPr>
        <w:spacing w:before="0" w:after="0"/>
      </w:pPr>
      <w:r/>
      <w:hyperlink w:anchor="accurate">
        <w:r>
          <w:rPr/>
          <w:t xml:space="preserve">↑ Triage</w:t>
        </w:r>
      </w:hyperlink>
    </w:p>
    <w:p>
      <w:pPr>
        <w:pStyle w:val="Heading3"/>
      </w:pPr>
      <w:r>
        <w:bookmarkStart w:id="65" w:name="codeofcivilp58"/>
        <w:bookmarkEnd w:id="65" w:name="codeofcivilp58"/>
      </w:r>
      <w:r>
        <w:t>Code of Civil Procedure § 1019.5</w:t>
      </w:r>
    </w:p>
    <w:p>
      <w:pPr>
        <w:spacing w:before="240" w:after="240"/>
      </w:pPr>
      <w:r>
        <w:rPr>
          <w:b/>
          <w:i/>
          <w:color w:val="3A0517"/>
        </w:rPr>
        <w:t>Use of Citation</w:t>
      </w:r>
      <w:r>
        <w:t xml:space="preserve"> 🟢</w:t>
      </w:r>
    </w:p>
    <w:p>
      <w:pPr>
        <w:spacing w:before="0" w:after="0"/>
      </w:pPr>
      <w:r>
        <w:t>The document cites CA Code of Civil Procedure section 1019.5 within an attached Minute Order from the Sacramento Superior Court, Department 54, dated March 1, 2023, which is included as part of the record for the appeal (p. 37). This statute is cited to support the legal rule that while notice of a court's decision is generally required to be given by the prevailing party, the court may specifically order that no such formal notice or order is necessary. In the precise context of this matter, the trial court used the citation to finalize its denial of Hall's motion for reconsideration in Case No. 34-2022-00322068, stating that the minute order was effective immediately and required no further formal documentation (p. 37). This is significant to the overall case because Hall's appeal challenges the procedural handling of his claims, and this citation clarifies the point at which the trial court's internal reconsideration process concluded. The court's reasoning involves an application of CCP section 1019.5 in conjunction with California Rules of Court Rule 3.1312, which normally requires the prevailing party to prepare a formal order; by citing section 1019.5, the court exercised its discretion to bypass these standard steps. The statutory rule is interpreted as providing the judiciary with the flexibility to ensure the prompt and efficient finalization of rulings without the delay of party-prepared notices, provided the court explicitly states such an intent in its order.</w:t>
      </w:r>
    </w:p>
    <w:p>
      <w:pPr>
        <w:spacing w:before="240" w:after="240"/>
      </w:pPr>
      <w:r>
        <w:rPr>
          <w:b/>
          <w:i/>
          <w:color w:val="3A0517"/>
        </w:rPr>
        <w:t>Accuracy Review</w:t>
      </w:r>
    </w:p>
    <w:p>
      <w:pPr>
        <w:spacing w:before="0" w:after="0"/>
      </w:pPr>
      <w:r>
        <w:t>The citation to CA Code of Civil Procedure section 1019.5 is an accurate application of the law within its intended procedural context. The statute provides a default rule for notice but explicitly grants the trial court the power to 'otherwise order' that such notice is not required. By stating that 'no formal order or other notice is required' and citing section 1019.5, the trial court correctly invoked its statutory discretion to bypass the standard requirement that the prevailing party (the County) serve notice of the ruling. There is no evidence of technical misapplication or contextual overextension, as the statute is designed precisely for this type of judicial efficiency in motion practice. The citation aligns with the outcome of finalizing the denial of reconsideration without further administrative delay, and it correctly complements CRC Rule 3.1312.</w:t>
      </w:r>
    </w:p>
    <w:p>
      <w:r>
        <w:br w:type="page"/>
      </w:r>
    </w:p>
    <w:p>
      <w:pPr>
        <w:spacing w:before="0" w:after="0"/>
      </w:pPr>
      <w:r/>
      <w:hyperlink w:anchor="accurate">
        <w:r>
          <w:rPr/>
          <w:t xml:space="preserve">↑ Triage</w:t>
        </w:r>
      </w:hyperlink>
    </w:p>
    <w:p>
      <w:pPr>
        <w:pStyle w:val="Heading3"/>
      </w:pPr>
      <w:r>
        <w:bookmarkStart w:id="66" w:name="codeofcivilp59"/>
        <w:bookmarkEnd w:id="66" w:name="codeofcivilp59"/>
      </w:r>
      <w:r>
        <w:t>Code of Civil Procedure § 12a</w:t>
      </w:r>
    </w:p>
    <w:p>
      <w:pPr>
        <w:spacing w:before="240" w:after="240"/>
      </w:pPr>
      <w:r>
        <w:rPr>
          <w:b/>
          <w:i/>
          <w:color w:val="3A0517"/>
        </w:rPr>
        <w:t>Use of Citation</w:t>
      </w:r>
      <w:r>
        <w:t xml:space="preserve"> 🟢</w:t>
      </w:r>
    </w:p>
    <w:p>
      <w:pPr>
        <w:spacing w:before="0" w:after="0"/>
      </w:pPr>
      <w:r>
        <w:t>The document cites CA Code of Civil Procedure section 12a within an attached Minute Order from the related trial court case (p. 37). The statute is used to support the legal rule that if the final day of a specified period for performing an act required by law falls on a holiday, the period is extended to the next day that is not a holiday (p. 37). In the context of this matter, the trial court applied this rule to determine the timeliness of Hall's motion for reconsideration (p. 37). The court noted that the ten-day filing window following its November 9, 2022, order ended on November 19, 2022, which was a Saturday (p. 37). By applying CCP section 12a, the court reasoned that the deadline was extended to the following Monday, November 21, 2022, thereby making Hall's filing on that date timely (p. 37). The court interprets the statutory rules of CCP section 12a to define "holiday" as including "all day on Saturdays" and interprets the extension to include the "next day that is not a holiday" (p. 37). This interpretation was used alongside CCP section 1008, which governs the substantive requirements for motions for reconsideration, and CRC Rule 3.1312 regarding formal orders (p. 37). The court's reasoning follows a logical progression: identifying the effective date of the order, calculating the standard ten-day deadline, identifying that the deadline fell on a Saturday, and applying the statutory extension for holidays to reach the next business day (p. 37).</w:t>
      </w:r>
    </w:p>
    <w:p>
      <w:pPr>
        <w:spacing w:before="240" w:after="240"/>
      </w:pPr>
      <w:r>
        <w:rPr>
          <w:b/>
          <w:i/>
          <w:color w:val="3A0517"/>
        </w:rPr>
        <w:t>Accuracy Review</w:t>
      </w:r>
    </w:p>
    <w:p>
      <w:pPr>
        <w:spacing w:before="0" w:after="0"/>
      </w:pPr>
      <w:r>
        <w:t>The citation of CA Code of Civil Procedure section 12a is technically and contextually accurate. The trial court correctly applied the statute to a specific procedural timeline: an order effective on November 9, 2022, with a ten-day response window ending on November 19, 2022. Because November 19 was a Saturday, the court properly invoked CCP 12a to extend the deadline to November 21. This application aligns perfectly with the statute's text and its intended purpose of ensuring that litigants are not penalized for court closures on weekends. There are no mischaracterizations or overextensions; the court used the statute exactly as prescribed for calculating a statutory period of time.</w:t>
      </w:r>
    </w:p>
    <w:p>
      <w:pPr>
        <w:spacing w:before="240" w:after="240"/>
      </w:pPr>
      <w:r>
        <w:rPr>
          <w:b/>
          <w:i/>
          <w:color w:val="3A0517"/>
        </w:rPr>
        <w:t>Use of Quotes</w:t>
      </w:r>
      <w:r>
        <w:bookmarkStart w:id="67" w:name="codeofcivilp60"/>
        <w:bookmarkEnd w:id="67" w:name="codeofcivilp60"/>
      </w:r>
    </w:p>
    <w:p>
      <w:pPr>
        <w:spacing w:before="240" w:after="240"/>
      </w:pPr>
      <w:r>
        <w:t xml:space="preserve">🟢 </w:t>
      </w:r>
      <w:r>
        <w:rPr>
          <w:b/>
          <w:i/>
          <w:color w:val="3A0517"/>
        </w:rPr>
        <w:t>Quote 1 - Code of Civil Procedure §12a</w:t>
      </w:r>
    </w:p>
    <w:p>
      <w:pPr>
        <w:pStyle w:val="Quote"/>
      </w:pPr>
      <w:r>
        <w:t>[i]f the last day . . . required by law to be performed within a specified period of time is a holiday, then that period is hereby extended to and including the next day that is not a holiday. For purposes of this section, "holiday" means all day on Saturdays . . .</w:t>
      </w:r>
    </w:p>
    <w:p>
      <w:pPr>
        <w:spacing w:before="0" w:after="0"/>
      </w:pPr>
      <w:r>
        <w:t>The quote accurately reflects the language of CCP 12a(a). It correctly reproduces the rule regarding the extension of time to the next non-holiday and the specific definition of Saturday as a holiday for the purposes of the section. While it uses ellipses to omit the reference to Section 135 holidays, this omission does not distort the meaning as applied to the Saturday deadline in question.</w:t>
      </w:r>
    </w:p>
    <w:p>
      <w:r>
        <w:br w:type="page"/>
      </w:r>
    </w:p>
    <w:p>
      <w:pPr>
        <w:spacing w:before="0" w:after="0"/>
      </w:pPr>
      <w:r/>
      <w:hyperlink w:anchor="unavailable">
        <w:r>
          <w:rPr/>
          <w:t xml:space="preserve">↑ Triage</w:t>
        </w:r>
      </w:hyperlink>
    </w:p>
    <w:p>
      <w:pPr>
        <w:pStyle w:val="Heading3"/>
      </w:pPr>
      <w:r>
        <w:bookmarkStart w:id="68" w:name="scottviac46c2d76"/>
        <w:bookmarkEnd w:id="68" w:name="scottviac46c2d76"/>
      </w:r>
      <w:r>
        <w:t>Scott v IAC 46 C2d 76</w:t>
      </w:r>
    </w:p>
    <w:p>
      <w:pPr>
        <w:spacing w:before="240" w:after="240"/>
      </w:pPr>
      <w:r>
        <w:rPr>
          <w:b/>
          <w:i/>
          <w:color w:val="3A0517"/>
        </w:rPr>
        <w:t>Use of Citation</w:t>
      </w:r>
      <w:r>
        <w:t xml:space="preserve"> ⚪</w:t>
      </w:r>
    </w:p>
    <w:p>
      <w:pPr>
        <w:spacing w:before="0" w:after="0"/>
      </w:pPr>
      <w:r>
        <w:t>The document cites Scott v IAC (1956) 46 C2d 76 to support the legal rule that when a party challenges a California court's assertion of subject matter jurisdiction, that court has the jurisdiction to determine the issue (p. 20). This citation occurs within Argument 3, which addresses whether Judge James P. Arguelles abused his judicial discretion (p. 19). The context involves the Appellant's challenge to the trial court's ruling that it lacked jurisdiction to issue a writ of mandate against itself (p. 16). The Appellant interprets Scott v IAC as granting the court the authority to resolve jurisdictional disputes (p. 20). The document directly applies this concept to argue that the trial court should have exercised its jurisdiction to determine the merits of the writ petition rather than dismissing it on jurisdictional grounds (p. 20).</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69" w:name="abelleiravdi62"/>
        <w:bookmarkEnd w:id="69" w:name="abelleiravdi62"/>
      </w:r>
      <w:r>
        <w:t>Abelleira v District Court of Appeal 17 C2d 280</w:t>
      </w:r>
    </w:p>
    <w:p>
      <w:pPr>
        <w:spacing w:before="240" w:after="240"/>
      </w:pPr>
      <w:r>
        <w:rPr>
          <w:b/>
          <w:i/>
          <w:color w:val="3A0517"/>
        </w:rPr>
        <w:t>Use of Citation</w:t>
      </w:r>
      <w:r>
        <w:t xml:space="preserve"> ⚪</w:t>
      </w:r>
    </w:p>
    <w:p>
      <w:pPr>
        <w:spacing w:before="0" w:after="0"/>
      </w:pPr>
      <w:r>
        <w:t>The document cites Abelleira v District Court of Appeal (1941) 17 C2d 280, 302 to support the legal rule that a court has jurisdiction to determine its own subject matter jurisdiction when that jurisdiction is challenged (p. 20). This citation appears in Argument 3, where the appellant (Hall) contends that Judge James P. Arguelles abused his discretion by refusing to exercise it in Hall's favor regarding a writ of mandate (p. 19). The context of the citation is a section titled B. Jurisdiction to Determine Jurisdiction, which addresses the trial court's authority to rule on jurisdictional issues and the availability of appellate review via extraordinary writs if such a challenge is rejected (p. 20). The document interprets Abelleira as establishing that a court's power to decide if it has jurisdiction is a fundamental procedural step. Hall applies this concept to argue that the trial court erred in dismissing his petition for writ of mandate on the grounds that it lacked jurisdiction to issue a writ against itself (p. 16, 20). The document uses Abelleira as a foundational legal example of the court's inherent authority to resolve jurisdictional disputes before a party seeks higher appellate review (p. 20).</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0" w:name="wcabvsmallcl63"/>
        <w:bookmarkEnd w:id="70" w:name="wcabvsmallcl63"/>
      </w:r>
      <w:r>
        <w:t>WCAB v Small Claims Court 35 CA3d 643</w:t>
      </w:r>
    </w:p>
    <w:p>
      <w:pPr>
        <w:spacing w:before="240" w:after="240"/>
      </w:pPr>
      <w:r>
        <w:rPr>
          <w:b/>
          <w:i/>
          <w:color w:val="3A0517"/>
        </w:rPr>
        <w:t>Use of Citation</w:t>
      </w:r>
      <w:r>
        <w:t xml:space="preserve"> ⚪</w:t>
      </w:r>
    </w:p>
    <w:p>
      <w:pPr>
        <w:spacing w:before="0" w:after="0"/>
      </w:pPr>
      <w:r>
        <w:t>In the Opening Brief, Anthony Jama Hall cites WCAB v Small Claims Court (1973) 35 CA3d 643 to support the legal rule that a party may seek an extraordinary writ to challenge a trial court's subject matter jurisdiction without first seeking relief in that court if no procedural mechanism exists for such a challenge (p. 20). The citation appears within Argument 3, where Hall addresses the 'Jurisdiction to Determine Jurisdiction' (p. 20). Hall uses the case as a parenthetical example to illustrate an exception to the general requirement that a party must first deny relief in the trial court before seeking appellate review via a writ of mandate or prohibition (p. 20). Specifically, the brief interprets WCAB v Small Claims Court as establishing that a writ of prohibition is available in superior court to challenge subject matter jurisdiction without a prior motion or demurrer if the lower court (like a small claims court) lacks procedures for such challenges (p. 20). Hall applies this concept analogically to his own situation, arguing that because he was 'confronted with Guardrails' and the trial court failed in its ministerial duties, he is entitled to seek a writ of mandate to compel the court to perform acts required by law (pp. 8, 20).</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1" w:name="brownvdesert64"/>
        <w:bookmarkEnd w:id="71" w:name="brownvdesert64"/>
      </w:r>
      <w:r>
        <w:t>Brown v Desert Christian Ctr. 193 CA4th 733</w:t>
      </w:r>
    </w:p>
    <w:p>
      <w:pPr>
        <w:spacing w:before="240" w:after="240"/>
      </w:pPr>
      <w:r>
        <w:rPr>
          <w:b/>
          <w:i/>
          <w:color w:val="3A0517"/>
        </w:rPr>
        <w:t>Use of Citation</w:t>
      </w:r>
      <w:r>
        <w:t xml:space="preserve"> ⚪</w:t>
      </w:r>
    </w:p>
    <w:p>
      <w:pPr>
        <w:spacing w:before="0" w:after="0"/>
      </w:pPr>
      <w:r>
        <w:t>In the Opening Brief on the Merits, Anthony Jama Hall cites Brown v Desert Christian Ctr. (2011) 193 CA4th 733 to support the legal rule that when a party challenges a California court’s assertion of subject matter jurisdiction in a particular case, that court has jurisdiction to determine the issue (p. 20). The citation appears within Argument 3, where Hall contends that Judge James P. Arguelles abused his judicial discretion by refusing to exercise it in favor of Hall's timely filed Writ of Mandate (p. 19). The context of the citation relates to Hall's broader argument that the trial court erroneously claimed it lacked the power or jurisdiction to issue a writ of mandate against itself (p. 16). Hall interprets Brown as establishing the principle of 'Jurisdiction to Determine Jurisdiction,' arguing that the court was required to address the jurisdictional challenge rather than summarily dismissing it (p. 20). The brief uses Brown as a supporting authority for the general procedural principle that a court must first determine its own jurisdiction when that jurisdiction is challenged, rather than applying the specific facts of Brown to the present case (p. 20).</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2" w:name="cityofreddin65"/>
        <w:bookmarkEnd w:id="72" w:name="cityofreddin65"/>
      </w:r>
      <w:r>
        <w:t>City of Redding v Municipal Court 200 CA3d 1181</w:t>
      </w:r>
    </w:p>
    <w:p>
      <w:pPr>
        <w:spacing w:before="240" w:after="240"/>
      </w:pPr>
      <w:r>
        <w:rPr>
          <w:b/>
          <w:i/>
          <w:color w:val="3A0517"/>
        </w:rPr>
        <w:t>Use of Citation</w:t>
      </w:r>
      <w:r>
        <w:t xml:space="preserve"> ⚪</w:t>
      </w:r>
    </w:p>
    <w:p>
      <w:pPr>
        <w:spacing w:before="0" w:after="0"/>
      </w:pPr>
      <w:r>
        <w:t>In the 'APPELLANT Hall, Anthony Jama OPENING BRIEF On The MERITS', the case City of Redding v Municipal Court (1988) 200 CA3d 1181 is cited to support the proposition that writ review is an appropriate and often necessary mechanism for obtaining immediate appellate review of specific trial court determinations, particularly when the issue might otherwise become moot (p. 21). The brief uses the case as a specific 'EXAMPLE' within Argument 3, which addresses whether Judge James P. Arguelles abused his discretion by refusing to exercise it in favor of the Appellant (pp. 19, 21). The brief interprets City of Redding as demonstrating that a city in a criminal case could seek a writ to review an order requiring the production of police personnel records (p. 21). This citation serves as an illustrative example of the broader legal principle that writ review of specific trial court determinations may be expressly permitted by rule or statute, or necessitated by the inadequacy of other remedies (p. 21). The Appellant does not directly apply the facts of City of Redding to his own case via analogical reasoning; rather, he uses it to establish the procedural legitimacy of seeking extraordinary relief via a writ of mandate when a trial court erroneously rejects a challenge to its jurisdiction or refuses to perform a ministerial duty (pp. 20-21).</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3" w:name="popelkaallar66"/>
        <w:bookmarkEnd w:id="73" w:name="popelkaallar66"/>
      </w:r>
      <w:r>
        <w:t>Popelka, Allard, McCowan &amp; Jones v Superior Court 107 CA3d 496</w:t>
      </w:r>
    </w:p>
    <w:p>
      <w:pPr>
        <w:spacing w:before="240" w:after="240"/>
      </w:pPr>
      <w:r>
        <w:rPr>
          <w:b/>
          <w:i/>
          <w:color w:val="3A0517"/>
        </w:rPr>
        <w:t>Use of Citation</w:t>
      </w:r>
      <w:r>
        <w:t xml:space="preserve"> ⚪</w:t>
      </w:r>
    </w:p>
    <w:p>
      <w:pPr>
        <w:spacing w:before="0" w:after="0"/>
      </w:pPr>
      <w:r>
        <w:t>In the document, the appellant cites Popelka, Allard, McCowan &amp; Jones v Superior Court (1980) 107 CA3d 496 to support a legal rule regarding the timing of extraordinary writ petitions. Specifically, the case is cited for the proposition that "in the absence of a specific statutory provision, an appellate court may consider a petition for extraordinary writ at any time" (p. 21). This citation appears within Argument 3, which addresses whether Judge James P. Arguelles abused his discretion by refusing to exercise it in favor of the appellant's timely filed writ of mandate (p. 19). The appellant uses the case to establish the procedural flexibility of appellate courts when reviewing writ petitions, interpreting the legal reasoning from Popelka as a general rule that allows for review even when specific deadlines might otherwise seem to apply (p. 21). The document applies this concept directly to justify the court's authority to hear his appeal and writ proceeding, even though he acknowledges elsewhere that certain timeframes for traditional appeals may have lapsed (p. 23, 27). By citing Popelka, the appellant argues that the appellate court has the inherent jurisdiction to consider his petition for extraordinary relief regardless of the timing, provided there is no specific statutory bar (p. 21).</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4" w:name="volkswagenof67"/>
        <w:bookmarkEnd w:id="74" w:name="volkswagenof67"/>
      </w:r>
      <w:r>
        <w:t>Volkswagen of Am., Inc. v Superior Court 94 CA4th 695</w:t>
      </w:r>
    </w:p>
    <w:p>
      <w:pPr>
        <w:spacing w:before="240" w:after="240"/>
      </w:pPr>
      <w:r>
        <w:rPr>
          <w:b/>
          <w:i/>
          <w:color w:val="3A0517"/>
        </w:rPr>
        <w:t>Use of Citation</w:t>
      </w:r>
      <w:r>
        <w:t xml:space="preserve"> ⚪</w:t>
      </w:r>
    </w:p>
    <w:p>
      <w:pPr>
        <w:spacing w:before="0" w:after="0"/>
      </w:pPr>
      <w:r>
        <w:t>In the document 'APPELLANT Hall, Anthony Jama OPENING BRIEF On The MERITS', the appellant cites Volkswagen of Am., Inc. v Superior Court (2001) 94 CA4th 695, 701 to support legal rules regarding the timing for filing a petition for an extraordinary writ (p. 21). Specifically, the document cites the case for the proposition that it is 'good practice' to file such a petition 'as soon as possible and in any event no later than 60 calendar days after the order or judgment for which relief is sought' (p. 21). The context of this citation is within Argument 3, where the appellant is addressing the trial court's refusal to exercise judicial discretion in his favor regarding his writ of mandate (p. 19). The appellant uses the citation to establish the procedural timeliness of writ petitions in the absence of specific statutory provisions (p. 21). The document interprets the legal reasoning from Volkswagen of Am., Inc. as establishing a 'presumptive 60-day deadline' for filing (p. 21). The appellant applies this concept as a general procedural standard to justify the timing of his own legal actions, using the case as a primary example of the established practice for obtaining writ review (p. 21).</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5" w:name="laborworkfor68"/>
        <w:bookmarkEnd w:id="75" w:name="laborworkfor68"/>
      </w:r>
      <w:r>
        <w:t>Labor &amp; Workforce Dev. Agency v Superior Court 19 CA5th 12</w:t>
      </w:r>
    </w:p>
    <w:p>
      <w:pPr>
        <w:spacing w:before="240" w:after="240"/>
      </w:pPr>
      <w:r>
        <w:rPr>
          <w:b/>
          <w:i/>
          <w:color w:val="3A0517"/>
        </w:rPr>
        <w:t>Use of Citation</w:t>
      </w:r>
      <w:r>
        <w:t xml:space="preserve"> ⚪</w:t>
      </w:r>
    </w:p>
    <w:p>
      <w:pPr>
        <w:spacing w:before="0" w:after="0"/>
      </w:pPr>
      <w:r>
        <w:t>In the Opening Brief on the Merits, Anthony Jama Hall cites Labor &amp; Workforce Dev. Agency v Superior Court (2018) 19 CA5th 12, 24 to support the legal rule regarding the timing for filing a petition for an extraordinary writ (p. 21). Specifically, the brief uses the case to establish that while appellate courts may generally consider a writ petition at any time in the absence of a specific statute, it is 'good practice' to file 'no later than 60 calendar days after the order or judgment for which relief is sought' (p. 21). The context of this citation is within Argument 3, where Hall addresses the trial court's refusal to exercise judicial discretion in his favor regarding his writ of mandate (p. 19). Hall uses Labor &amp; Workforce Dev. Agency as an example of a case where a 'writ petition [was] timely filed within [the] presumptive 60-day deadline' (p. 21). The brief interprets the legal reasoning of the cited case as establishing a 'presumptive 60-day deadline' that begins upon the trial court's direction or order (p. 21). Hall applies this concept to his own situation to demonstrate that his challenge to the trial court's subject matter jurisdiction and its refusal to perform ministerial duties was procedurally appropriate and timely (p. 20-21).</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6" w:name="hernandezvsu69"/>
        <w:bookmarkEnd w:id="76" w:name="hernandezvsu69"/>
      </w:r>
      <w:r>
        <w:t>Hernandez v Superior Court 112 CA4th 285</w:t>
      </w:r>
    </w:p>
    <w:p>
      <w:pPr>
        <w:spacing w:before="240" w:after="240"/>
      </w:pPr>
      <w:r>
        <w:rPr>
          <w:b/>
          <w:i/>
          <w:color w:val="3A0517"/>
        </w:rPr>
        <w:t>Use of Citation</w:t>
      </w:r>
      <w:r>
        <w:t xml:space="preserve"> ⚪</w:t>
      </w:r>
    </w:p>
    <w:p>
      <w:pPr>
        <w:spacing w:before="0" w:after="0"/>
      </w:pPr>
      <w:r>
        <w:t>APPELLANT Hall, Anthony Jama OPENING BRIEF On The MERITS cites Hernandez v Superior Court (2003) 112 CA4th 285 to support the legal rule that a writ of mandate may be the only adequate remedy available to challenge a trial court order that erroneously compels the production of privileged information (p. 21). This citation occurs within Argument 3, which contends that Judge James P. Arguelles abused his judicial discretion by refusing to exercise it in the appellant's favor (p. 19). The context of the citation is a section titled EXAMPLE, which follows a discussion on the procedure for obtaining writs and the timing limitations for filing petitions (p. 21). The appellant interprets Hernandez as providing a justification for immediate appellate review via writ when a trial court determination would otherwise lead to a moot issue or irreparable procedural error (p. 21). The document uses Hernandez as an example to demonstrate that specific trial court determinations are expressly permitted for writ review by statute or rule, supporting the appellant's broader claim that his petition for a writ of mandate was an appropriate and necessary remedy for the trial court's alleged failure to perform its ministerial duties (p. 21).</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7" w:name="gropenvsuper70"/>
        <w:bookmarkEnd w:id="77" w:name="gropenvsuper70"/>
      </w:r>
      <w:r>
        <w:t>Gropen v Superior Court 89 CA5th 1068</w:t>
      </w:r>
    </w:p>
    <w:p>
      <w:pPr>
        <w:spacing w:before="240" w:after="240"/>
      </w:pPr>
      <w:r>
        <w:rPr>
          <w:b/>
          <w:i/>
          <w:color w:val="3A0517"/>
        </w:rPr>
        <w:t>Use of Citation</w:t>
      </w:r>
      <w:r>
        <w:t xml:space="preserve"> ⚪</w:t>
      </w:r>
    </w:p>
    <w:p>
      <w:pPr>
        <w:spacing w:before="0" w:after="0"/>
      </w:pPr>
      <w:r>
        <w:t>The document cites Gropen v Superior Court to support the legal rule that writ review of specific trial court determinations may be expressly permitted by an applicable rule or statute (p. 21). This citation occurs within Argument 3, which addresses whether Judge James P. Arguelles abused his judicial discretion by refusing to exercise it in favor of the Appellant (p. 19). The context of the citation is a discussion on the procedures for obtaining a writ and the timing limitations associated with such petitions (p. 21). The document interprets Gropen as an authority demonstrating that California Rules of Court 1.100 explicitly allows for review by petition for writ of mandate when a trial court denies a party's request for reasonable accommodation at a deposition to address a disability (p. 21). The document uses Gropen as an example to illustrate that certain trial court orders are subject to immediate writ review under specific regulatory frameworks, rather than directly applying the specific facts of Gropen to the Appellant's situation regarding the Government Claims Act (p. 21).</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8" w:name="munozvstate371"/>
        <w:bookmarkEnd w:id="78" w:name="munozvstate371"/>
      </w:r>
      <w:r>
        <w:t>Munoz v State 33 CA4th 1767</w:t>
      </w:r>
    </w:p>
    <w:p>
      <w:pPr>
        <w:spacing w:before="240" w:after="240"/>
      </w:pPr>
      <w:r>
        <w:rPr>
          <w:b/>
          <w:i/>
          <w:color w:val="3A0517"/>
        </w:rPr>
        <w:t>Use of Citation</w:t>
      </w:r>
      <w:r>
        <w:t xml:space="preserve"> ⚪</w:t>
      </w:r>
    </w:p>
    <w:p>
      <w:pPr>
        <w:spacing w:before="0" w:after="0"/>
      </w:pPr>
      <w:r>
        <w:t>In the document, Anthony Jama Hall cites Munoz v State (1995) 33 CA4th 1767 to support the legal rule regarding the jurisdictional limits of the court under the Government Claims Act. Specifically, the document cites Munoz for the proposition that a court has "no jurisdiction when application [is] untimely" (p. 24). This citation is used within the context of Argument 4, where Hall argues that a writ of mandate is the appropriate remedy for the trial court's refusal to accept evidence of his compliance with the Tort Claims Act (p. 22). Hall employs the reasoning from Munoz to establish the high stakes of the procedural timeline: he acknowledges that if a petitioner fails to establish that an application to file a late claim was presented within one year of the accrual of the cause of action, the court loses the power to grant relief (p. 24). Hall interprets Munoz as a cautionary example of the jurisdictional bar that exists when a claim is untimely. He then applies this concept by asserting that he did, in fact, present his claim to the County of Sacramento within the one-year window (specifically on December 28, 2020, following a February 28, 2020 accrual date), and therefore the trial court erred by refusing to accept the evidence that would have established its jurisdiction to grant him relief (p. 24, 26).</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79" w:name="greyhoundlin72"/>
        <w:bookmarkEnd w:id="79" w:name="greyhoundlin72"/>
      </w:r>
      <w:r>
        <w:t>Greyhound Lines, Inc. v County of Santa Clara 187 CA3d 480</w:t>
      </w:r>
    </w:p>
    <w:p>
      <w:pPr>
        <w:spacing w:before="240" w:after="240"/>
      </w:pPr>
      <w:r>
        <w:rPr>
          <w:b/>
          <w:i/>
          <w:color w:val="3A0517"/>
        </w:rPr>
        <w:t>Use of Citation</w:t>
      </w:r>
      <w:r>
        <w:t xml:space="preserve"> ⚪</w:t>
      </w:r>
    </w:p>
    <w:p>
      <w:pPr>
        <w:spacing w:before="0" w:after="0"/>
      </w:pPr>
      <w:r>
        <w:t>Hall cites Greyhound Lines, Inc. v County of Santa Clara to support the legal rule that a court lacks jurisdiction to grant relief under Government Code section 946.6 if the underlying application to file a late claim is filed more than one year after the accrual of the cause of action (p. 24). This citation occurs within Argument 4, where Hall contends that a writ of mandate is the appropriate remedy for the trial court's refusal to accept evidence of his compliance with the Government Claims Act (p. 22-24). Hall interprets the case as establishing a strict one-year jurisdictional deadline for presenting a late claim application (p. 24). He applies this legal concept by arguing that he did, in fact, present evidence of a claim filed within the one-year window—specifically, a claim filed on December 28, 2020, following the dismissal of criminal charges on February 28, 2020 (p. 24). Hall uses Greyhound Lines as a standard to demonstrate that because he met this jurisdictional requirement, the trial court had the authority to grant relief and erred by refusing to consider his evidence (p. 24).</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80" w:name="brandongvgra73"/>
        <w:bookmarkEnd w:id="80" w:name="brandongvgra73"/>
      </w:r>
      <w:r>
        <w:t>Brandon G. v Gray 111 CA4th 29</w:t>
      </w:r>
    </w:p>
    <w:p>
      <w:pPr>
        <w:spacing w:before="240" w:after="240"/>
      </w:pPr>
      <w:r>
        <w:rPr>
          <w:b/>
          <w:i/>
          <w:color w:val="3A0517"/>
        </w:rPr>
        <w:t>Use of Citation</w:t>
      </w:r>
      <w:r>
        <w:t xml:space="preserve"> ⚪</w:t>
      </w:r>
    </w:p>
    <w:p>
      <w:pPr>
        <w:spacing w:before="0" w:after="0"/>
      </w:pPr>
      <w:r>
        <w:t>The document cites Brandon G. v Gray (2003) 111 CA4th 29 to support the legal rule that a failure to file an application for leave to file a late claim within one year of the accrual of the cause of action effectively precludes a plaintiff from obtaining relief through the claims procedures and from pursuing a court action against the public entity (p. 24). In the context of Argument 4, Hall uses this citation to discuss the jurisdictional limits of the court under Government Code section 946.6 (p. 24). He employs analogical reasoning by establishing the one-year rule as the jurisdictional threshold that the trial court must respect (p. 24). Hall interprets the legal reasoning of Brandon G. v Gray as a definitive bar for untimely applications, but applies it to his case by asserting that he actually complied with this requirement by presenting his claim within the one-year window (p. 24, 26). The document uses the case as an example of the strict procedural requirements of the Government Claims Act to highlight why the trial court's refusal to accept his evidence of compliance was a prejudicial abuse of discretion (p. 24-25).</w:t>
      </w:r>
    </w:p>
    <w:p>
      <w:pPr>
        <w:spacing w:before="240" w:after="240"/>
      </w:pPr>
      <w:r>
        <w:rPr>
          <w:b/>
          <w:i/>
          <w:color w:val="3A0517"/>
        </w:rPr>
        <w:t>Accuracy Review</w:t>
      </w:r>
    </w:p>
    <w:p>
      <w:pPr>
        <w:spacing w:before="0" w:after="0"/>
      </w:pPr>
      <w:r>
        <w:t>Accuracy Review is not available for this rating level. The citation is likely not in error or a hallucination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