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4320"/>
        <w:gridCol w:w="4320"/>
      </w:tblGrid>
      <w:tr>
        <w:tc>
          <w:tcPr>
            <w:tcW w:type="dxa" w:w="4320"/>
          </w:tcPr>
          <w:p/>
          <w:p>
            <w:r>
              <w:drawing>
                <wp:inline xmlns:a="http://schemas.openxmlformats.org/drawingml/2006/main" xmlns:pic="http://schemas.openxmlformats.org/drawingml/2006/picture">
                  <wp:extent cx="914400" cy="1114828"/>
                  <wp:docPr id="1" name="Picture 1"/>
                  <wp:cNvGraphicFramePr>
                    <a:graphicFrameLocks noChangeAspect="1"/>
                  </wp:cNvGraphicFramePr>
                  <a:graphic>
                    <a:graphicData uri="http://schemas.openxmlformats.org/drawingml/2006/picture">
                      <pic:pic>
                        <pic:nvPicPr>
                          <pic:cNvPr id="0" name="logoLarge.png"/>
                          <pic:cNvPicPr/>
                        </pic:nvPicPr>
                        <pic:blipFill>
                          <a:blip r:embed="rId9"/>
                          <a:stretch>
                            <a:fillRect/>
                          </a:stretch>
                        </pic:blipFill>
                        <pic:spPr>
                          <a:xfrm>
                            <a:off x="0" y="0"/>
                            <a:ext cx="914400" cy="1114828"/>
                          </a:xfrm>
                          <a:prstGeom prst="rect"/>
                        </pic:spPr>
                      </pic:pic>
                    </a:graphicData>
                  </a:graphic>
                </wp:inline>
              </w:drawing>
            </w:r>
          </w:p>
          <w:p>
            <w:pPr>
              <w:pStyle w:val="SmallCapsHeading"/>
            </w:pPr>
            <w:hyperlink r:id="rId10">
              <w:r>
                <w:rPr>
                  <w:color w:val="3a0517"/>
                </w:rPr>
                <w:t>Opine Law</w:t>
              </w:r>
            </w:hyperlink>
          </w:p>
        </w:tc>
        <w:tc>
          <w:tcPr>
            <w:tcW w:type="dxa" w:w="4320"/>
          </w:tcPr>
          <w:p/>
          <w:p>
            <w:r>
              <w:t>Case: 1:26-cv-00297-KES-EPG - ELIO GAMEZ v. COUNTY OF FRESNO</w:t>
            </w:r>
          </w:p>
        </w:tc>
      </w:tr>
    </w:tbl>
    <w:p>
      <w:pPr>
        <w:pStyle w:val="OpineSubtitle"/>
      </w:pPr>
      <w:r>
        <w:t>Citation Report</w:t>
      </w:r>
    </w:p>
    <w:p>
      <w:pPr>
        <w:pStyle w:val="OpineTitle"/>
      </w:pPr>
      <w:r>
        <w:t>PLAINTIFF ELIO GAMEZ'S OPPOSITION TO DEFENDANT COUNTY OF FRESNO'S MOTION FOR A MORE DEFINITE STATEMENT [FED. R. CIV. P. 12(E)]</w:t>
      </w:r>
    </w:p>
    <w:p>
      <w:pPr>
        <w:pStyle w:val="Heading1"/>
      </w:pPr>
      <w:r>
        <w:bookmarkStart w:id="0" w:name="legend"/>
        <w:bookmarkEnd w:id="0" w:name="legend"/>
      </w:r>
      <w:r>
        <w:t>Legend</w:t>
      </w:r>
    </w:p>
    <w:p>
      <w:pPr>
        <w:spacing w:before="0" w:after="0"/>
      </w:pPr>
      <w:r>
        <w:t>🟢</w:t>
        <w:tab/>
        <w:t>Accurate application</w:t>
      </w:r>
    </w:p>
    <w:p>
      <w:pPr>
        <w:spacing w:before="0" w:after="0"/>
      </w:pPr>
      <w:r>
        <w:t>🟡</w:t>
        <w:tab/>
        <w:t>Minor issues or incomplete application</w:t>
      </w:r>
    </w:p>
    <w:p>
      <w:pPr>
        <w:spacing w:before="0" w:after="0"/>
      </w:pPr>
      <w:r>
        <w:t>🔴</w:t>
        <w:tab/>
        <w:t>Significant problems or overextension</w:t>
      </w:r>
    </w:p>
    <w:p>
      <w:pPr>
        <w:spacing w:before="0" w:after="0"/>
      </w:pPr>
      <w:r>
        <w:t>☠️</w:t>
        <w:tab/>
        <w:t>Serious misrepresentation, fabrication, error, or hallucination</w:t>
      </w:r>
    </w:p>
    <w:p>
      <w:pPr>
        <w:spacing w:before="0" w:after="0"/>
      </w:pPr>
      <w:r>
        <w:t>⚪</w:t>
        <w:tab/>
        <w:t>Opine Deep Research not available (error and hallucination check only)</w:t>
      </w:r>
    </w:p>
    <w:p/>
    <w:tbl>
      <w:tblPr>
        <w:tblW w:type="auto" w:w="0"/>
        <w:tblLook w:firstColumn="1" w:firstRow="1" w:lastColumn="0" w:lastRow="0" w:noHBand="0" w:noVBand="1" w:val="04A0"/>
      </w:tblPr>
      <w:tblGrid>
        <w:gridCol w:w="0"/>
        <w:gridCol w:w="0"/>
        <w:gridCol w:w="0"/>
        <w:gridCol w:w="0"/>
        <w:gridCol w:w="0"/>
        <w:gridCol w:w="0"/>
      </w:tblGrid>
      <w:tr>
        <w:trPr>
          <w:tblHeader/>
        </w:trPr>
        <w:tc>
          <w:tcPr>
            <w:tcW w:type="dxa" w:w="1800"/>
          </w:tcP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r>
      <w:tr>
        <w:tc>
          <w:tcPr>
            <w:tcW w:type="dxa" w:w="1800"/>
          </w:tcPr>
          <w:p>
            <w:pPr>
              <w:spacing w:before="0" w:after="0" w:line="360" w:lineRule="auto"/>
              <w:jc w:val="left"/>
            </w:pPr>
            <w:r>
              <w:rPr>
                <w:b/>
              </w:rPr>
              <w:t>17 Citations</w:t>
            </w:r>
          </w:p>
        </w:tc>
        <w:tc>
          <w:tcPr>
            <w:tcW w:type="dxa" w:w="1800"/>
          </w:tcPr>
          <w:p>
            <w:pPr>
              <w:spacing w:before="0" w:after="0" w:line="360" w:lineRule="auto"/>
              <w:jc w:val="center"/>
            </w:pPr>
            <w:r>
              <w:t>7</w:t>
            </w:r>
          </w:p>
        </w:tc>
        <w:tc>
          <w:tcPr>
            <w:tcW w:type="dxa" w:w="1800"/>
          </w:tcPr>
          <w:p>
            <w:pPr>
              <w:spacing w:before="0" w:after="0" w:line="360" w:lineRule="auto"/>
              <w:jc w:val="center"/>
            </w:pPr>
            <w:r>
              <w:t>0</w:t>
            </w:r>
          </w:p>
        </w:tc>
        <w:tc>
          <w:tcPr>
            <w:tcW w:type="dxa" w:w="1800"/>
          </w:tcPr>
          <w:p>
            <w:pPr>
              <w:spacing w:before="0" w:after="0" w:line="360" w:lineRule="auto"/>
              <w:jc w:val="center"/>
            </w:pPr>
            <w:r>
              <w:t>0</w:t>
            </w:r>
          </w:p>
        </w:tc>
        <w:tc>
          <w:tcPr>
            <w:tcW w:type="dxa" w:w="1800"/>
          </w:tcPr>
          <w:p>
            <w:pPr>
              <w:spacing w:before="0" w:after="0" w:line="360" w:lineRule="auto"/>
              <w:jc w:val="center"/>
            </w:pPr>
            <w:r>
              <w:t>5</w:t>
            </w:r>
          </w:p>
        </w:tc>
        <w:tc>
          <w:tcPr>
            <w:tcW w:type="dxa" w:w="1800"/>
          </w:tcPr>
          <w:p>
            <w:pPr>
              <w:spacing w:before="0" w:after="0" w:line="360" w:lineRule="auto"/>
              <w:jc w:val="center"/>
            </w:pPr>
            <w:r>
              <w:t>5</w:t>
            </w:r>
          </w:p>
        </w:tc>
      </w:tr>
      <w:tr>
        <w:tc>
          <w:tcPr>
            <w:tcW w:type="dxa" w:w="1800"/>
          </w:tcPr>
          <w:p>
            <w:pPr>
              <w:spacing w:before="0" w:after="0" w:line="360" w:lineRule="auto"/>
              <w:jc w:val="right"/>
            </w:pPr>
            <w:r>
              <w:t>9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right"/>
            </w:pPr>
            <w:r>
              <w:t>8 Statutes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left"/>
            </w:pPr>
            <w:r>
              <w:rPr>
                <w:b/>
              </w:rPr>
              <w:t>4 Quotes</w:t>
            </w:r>
          </w:p>
        </w:tc>
        <w:tc>
          <w:tcPr>
            <w:tcW w:type="dxa" w:w="1800"/>
          </w:tcPr>
          <w:p>
            <w:pPr>
              <w:spacing w:before="0" w:after="0" w:line="360" w:lineRule="auto"/>
              <w:jc w:val="center"/>
            </w:pPr>
            <w:r>
              <w:t>1</w:t>
            </w:r>
          </w:p>
        </w:tc>
        <w:tc>
          <w:tcPr>
            <w:tcW w:type="dxa" w:w="1800"/>
          </w:tcPr>
          <w:p>
            <w:pPr>
              <w:spacing w:before="0" w:after="0" w:line="360" w:lineRule="auto"/>
              <w:jc w:val="center"/>
            </w:pPr>
            <w:r>
              <w:t>0</w:t>
            </w:r>
          </w:p>
        </w:tc>
        <w:tc>
          <w:tcPr>
            <w:tcW w:type="dxa" w:w="1800"/>
          </w:tcPr>
          <w:p>
            <w:pPr>
              <w:spacing w:before="0" w:after="0" w:line="360" w:lineRule="auto"/>
              <w:jc w:val="center"/>
            </w:pPr>
            <w:r>
              <w:t>3</w:t>
            </w:r>
          </w:p>
        </w:tc>
        <w:tc>
          <w:tcPr>
            <w:tcW w:type="dxa" w:w="1800"/>
          </w:tcPr>
          <w:p>
            <w:pPr>
              <w:spacing w:before="0" w:after="0" w:line="360" w:lineRule="auto"/>
              <w:jc w:val="center"/>
            </w:pPr>
            <w:r>
              <w:t>0</w:t>
            </w:r>
          </w:p>
        </w:tc>
        <w:tc>
          <w:tcPr>
            <w:tcW w:type="dxa" w:w="1800"/>
          </w:tcPr>
          <w:p>
            <w:pPr>
              <w:spacing w:before="0" w:after="0" w:line="360" w:lineRule="auto"/>
              <w:jc w:val="center"/>
            </w:pPr>
            <w:r>
              <w:t>0</w:t>
            </w:r>
          </w:p>
        </w:tc>
      </w:tr>
      <w:tr>
        <w:tc>
          <w:tcPr>
            <w:tcW w:type="dxa" w:w="1800"/>
          </w:tcPr>
          <w:p>
            <w:pPr>
              <w:spacing w:before="0" w:after="0" w:line="360" w:lineRule="auto"/>
              <w:jc w:val="right"/>
            </w:pPr>
            <w:r>
              <w:t>3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right"/>
            </w:pPr>
            <w:r>
              <w:t>1 Statutes</w:t>
            </w:r>
          </w:p>
        </w:tc>
        <w:tc>
          <w:tcPr>
            <w:tcW w:type="dxa" w:w="1800"/>
          </w:tcPr>
          <w:p/>
        </w:tc>
        <w:tc>
          <w:tcPr>
            <w:tcW w:type="dxa" w:w="1800"/>
          </w:tcPr>
          <w:p/>
        </w:tc>
        <w:tc>
          <w:tcPr>
            <w:tcW w:type="dxa" w:w="1800"/>
          </w:tcPr>
          <w:p/>
        </w:tc>
        <w:tc>
          <w:tcPr>
            <w:tcW w:type="dxa" w:w="1800"/>
          </w:tcPr>
          <w:p/>
        </w:tc>
        <w:tc>
          <w:tcPr>
            <w:tcW w:type="dxa" w:w="1800"/>
          </w:tcPr>
          <w:p/>
        </w:tc>
      </w:tr>
    </w:tbl>
    <w:p>
      <w:r>
        <w:br w:type="page"/>
      </w:r>
    </w:p>
    <w:p>
      <w:pPr>
        <w:pStyle w:val="TriageReport"/>
      </w:pPr>
      <w:r>
        <w:t>Triage Report</w:t>
      </w:r>
    </w:p>
    <w:p>
      <w:pPr>
        <w:pStyle w:val="Heading2"/>
      </w:pPr>
      <w:r>
        <w:bookmarkStart w:id="2" w:name="seriousissues"/>
        <w:bookmarkEnd w:id="2" w:name="seriousissues"/>
      </w:r>
      <w:r>
        <w:t>Serious Issues</w:t>
      </w:r>
    </w:p>
    <w:p>
      <w:pPr>
        <w:pStyle w:val="Heading4"/>
      </w:pPr>
      <w:r>
        <w:t>Cases</w:t>
      </w:r>
    </w:p>
    <w:p>
      <w:pPr>
        <w:spacing w:before="0" w:after="0"/>
      </w:pPr>
      <w:r>
        <w:t xml:space="preserve">☠️ </w:t>
      </w:r>
      <w:hyperlink w:anchor="barajasvprog8">
        <w:r>
          <w:rPr/>
          <w:t xml:space="preserve">Barajas v. Progressive Casualty Insurance Co. 2021 WL 5033507</w:t>
        </w:r>
      </w:hyperlink>
    </w:p>
    <w:p>
      <w:pPr>
        <w:spacing w:before="0" w:after="0"/>
      </w:pPr>
      <w:r>
        <w:t xml:space="preserve">☠️ </w:t>
      </w:r>
      <w:hyperlink w:anchor="holmesvcityo9">
        <w:r>
          <w:rPr/>
          <w:t xml:space="preserve">Holmes v. City of San Diego 2016 WL 3648961</w:t>
        </w:r>
      </w:hyperlink>
    </w:p>
    <w:p>
      <w:pPr>
        <w:spacing w:before="0" w:after="0"/>
      </w:pPr>
      <w:r>
        <w:t xml:space="preserve">☠️ </w:t>
      </w:r>
      <w:hyperlink w:anchor="robinsonvbor10">
        <w:r>
          <w:rPr/>
          <w:t xml:space="preserve">Robinson v. Boren 841 F.2d 398</w:t>
        </w:r>
      </w:hyperlink>
    </w:p>
    <w:p>
      <w:pPr>
        <w:spacing w:before="0" w:after="0"/>
      </w:pPr>
      <w:r>
        <w:t xml:space="preserve">☠️ </w:t>
      </w:r>
      <w:hyperlink w:anchor="koernervvigi11">
        <w:r>
          <w:rPr/>
          <w:t xml:space="preserve">Koerner v. Vigilant Ins. Co. 2016 WL 4721242</w:t>
        </w:r>
      </w:hyperlink>
    </w:p>
    <w:p>
      <w:pPr>
        <w:spacing w:before="0" w:after="0"/>
      </w:pPr>
      <w:r>
        <w:t xml:space="preserve">☠️ </w:t>
      </w:r>
      <w:hyperlink w:anchor="griffinvcnty12">
        <w:r>
          <w:rPr/>
          <w:t xml:space="preserve">Griffin v. Cnty. of Humboldt 2023 WL 2760322</w:t>
        </w:r>
      </w:hyperlink>
    </w:p>
    <w:p>
      <w:pPr>
        <w:pStyle w:val="Heading2"/>
      </w:pPr>
      <w:r>
        <w:bookmarkStart w:id="4" w:name="accurate"/>
        <w:bookmarkEnd w:id="4" w:name="accurate"/>
      </w:r>
      <w:r>
        <w:t>Accurate</w:t>
      </w:r>
    </w:p>
    <w:p>
      <w:pPr>
        <w:pStyle w:val="Heading4"/>
      </w:pPr>
      <w:r>
        <w:t>Cases</w:t>
      </w:r>
    </w:p>
    <w:p>
      <w:pPr>
        <w:spacing w:before="0" w:after="0"/>
      </w:pPr>
      <w:r>
        <w:t xml:space="preserve">🟢 </w:t>
      </w:r>
      <w:hyperlink w:anchor="destfinovrei13">
        <w:r>
          <w:rPr/>
          <w:t xml:space="preserve">Destfino v. Reiswig 630 F.3d 952</w:t>
        </w:r>
      </w:hyperlink>
    </w:p>
    <w:p>
      <w:pPr>
        <w:spacing w:before="0" w:after="0"/>
      </w:pPr>
      <w:r>
        <w:t xml:space="preserve">        </w:t>
      </w:r>
      <w:hyperlink w:anchor="destfinovrei14">
        <w:r>
          <w:rPr/>
          <w:t xml:space="preserve">🔴 3 Quotes</w:t>
        </w:r>
      </w:hyperlink>
    </w:p>
    <w:p>
      <w:pPr>
        <w:spacing w:before="0" w:after="0"/>
      </w:pPr>
      <w:r>
        <w:t xml:space="preserve">🟢 </w:t>
      </w:r>
      <w:hyperlink w:anchor="monell436us658">
        <w:r>
          <w:rPr/>
          <w:t xml:space="preserve">Monell 436 U.S. 658</w:t>
        </w:r>
      </w:hyperlink>
    </w:p>
    <w:p>
      <w:pPr>
        <w:pStyle w:val="Heading4"/>
      </w:pPr>
      <w:r>
        <w:t>Statutes</w:t>
      </w:r>
    </w:p>
    <w:p>
      <w:pPr>
        <w:spacing w:before="0" w:after="0"/>
      </w:pPr>
      <w:r>
        <w:t xml:space="preserve">🟢 </w:t>
      </w:r>
      <w:hyperlink w:anchor="civilcode521">
        <w:r>
          <w:rPr/>
          <w:t xml:space="preserve">Civil Code § 52.1</w:t>
        </w:r>
      </w:hyperlink>
    </w:p>
    <w:p>
      <w:pPr>
        <w:spacing w:before="0" w:after="0"/>
      </w:pPr>
      <w:r>
        <w:t xml:space="preserve">🟢 </w:t>
      </w:r>
      <w:hyperlink w:anchor="governmentcode8152">
        <w:r>
          <w:rPr/>
          <w:t xml:space="preserve">Government Code § 815.2</w:t>
        </w:r>
      </w:hyperlink>
    </w:p>
    <w:p>
      <w:pPr>
        <w:spacing w:before="0" w:after="0"/>
      </w:pPr>
      <w:r>
        <w:t xml:space="preserve">        </w:t>
      </w:r>
      <w:hyperlink w:anchor="governmentco18">
        <w:r>
          <w:rPr/>
          <w:t xml:space="preserve">🟢 1 Quote</w:t>
        </w:r>
      </w:hyperlink>
    </w:p>
    <w:p>
      <w:pPr>
        <w:spacing w:before="0" w:after="0"/>
      </w:pPr>
      <w:r>
        <w:t xml:space="preserve">🟢 </w:t>
      </w:r>
      <w:hyperlink w:anchor="governmentcode818">
        <w:r>
          <w:rPr/>
          <w:t xml:space="preserve">Government Code § 818</w:t>
        </w:r>
      </w:hyperlink>
    </w:p>
    <w:p>
      <w:pPr>
        <w:spacing w:before="0" w:after="0"/>
      </w:pPr>
      <w:r>
        <w:t xml:space="preserve">🟢 </w:t>
      </w:r>
      <w:hyperlink w:anchor="governmentcode900">
        <w:r>
          <w:rPr/>
          <w:t xml:space="preserve">Government Code § 900</w:t>
        </w:r>
      </w:hyperlink>
    </w:p>
    <w:p>
      <w:pPr>
        <w:spacing w:before="0" w:after="0"/>
      </w:pPr>
      <w:r>
        <w:t xml:space="preserve">🟢 </w:t>
      </w:r>
      <w:hyperlink w:anchor="42usc1983">
        <w:r>
          <w:rPr/>
          <w:t xml:space="preserve">42 U.S.C. § 1983</w:t>
        </w:r>
      </w:hyperlink>
    </w:p>
    <w:p>
      <w:pPr>
        <w:pStyle w:val="Heading2"/>
      </w:pPr>
      <w:r>
        <w:bookmarkStart w:id="7" w:name="unavailable"/>
        <w:bookmarkEnd w:id="7" w:name="unavailable"/>
      </w:r>
      <w:r>
        <w:t>Unavailable</w:t>
      </w:r>
    </w:p>
    <w:p>
      <w:pPr>
        <w:pStyle w:val="Heading4"/>
      </w:pPr>
      <w:r>
        <w:t>Cases</w:t>
      </w:r>
    </w:p>
    <w:p>
      <w:pPr>
        <w:spacing w:before="0" w:after="0"/>
      </w:pPr>
      <w:r>
        <w:t xml:space="preserve">⚪ </w:t>
      </w:r>
      <w:hyperlink w:anchor="beeryvhitach22">
        <w:r>
          <w:rPr/>
          <w:t xml:space="preserve">Beery v. Hitachi Home Elecs. (Am.), Inc. 157 F.R.D. 477</w:t>
        </w:r>
      </w:hyperlink>
    </w:p>
    <w:p>
      <w:pPr>
        <w:spacing w:before="0" w:after="0"/>
      </w:pPr>
      <w:r>
        <w:t xml:space="preserve">⚪ </w:t>
      </w:r>
      <w:hyperlink w:anchor="gibsonvcityo23">
        <w:r>
          <w:rPr/>
          <w:t xml:space="preserve">Gibson v. City of Portland 2026 WL 235118</w:t>
        </w:r>
      </w:hyperlink>
    </w:p>
    <w:p>
      <w:pPr>
        <w:pStyle w:val="Heading4"/>
      </w:pPr>
      <w:r>
        <w:t>Statutes</w:t>
      </w:r>
    </w:p>
    <w:p>
      <w:pPr>
        <w:spacing w:before="0" w:after="0"/>
      </w:pPr>
      <w:r>
        <w:t xml:space="preserve">⚪ </w:t>
      </w:r>
      <w:hyperlink w:anchor="federalrules24">
        <w:r>
          <w:rPr/>
          <w:t xml:space="preserve"> Federal Rules of Civil Procedure § 12</w:t>
        </w:r>
      </w:hyperlink>
    </w:p>
    <w:p>
      <w:pPr>
        <w:spacing w:before="0" w:after="0"/>
      </w:pPr>
      <w:r>
        <w:t xml:space="preserve">⚪ </w:t>
      </w:r>
      <w:hyperlink w:anchor="federalrules25">
        <w:r>
          <w:rPr/>
          <w:t xml:space="preserve"> Federal Rules of Civil Procedure § 81</w:t>
        </w:r>
      </w:hyperlink>
    </w:p>
    <w:p>
      <w:pPr>
        <w:spacing w:before="0" w:after="0"/>
      </w:pPr>
      <w:r>
        <w:t xml:space="preserve">⚪ </w:t>
      </w:r>
      <w:hyperlink w:anchor="federalrules26">
        <w:r>
          <w:rPr/>
          <w:t xml:space="preserve"> Federal Rules of Civil Procedure § 8</w:t>
        </w:r>
      </w:hyperlink>
    </w:p>
    <w:p>
      <w:r>
        <w:br w:type="page"/>
      </w:r>
    </w:p>
    <w:p>
      <w:pPr>
        <w:pStyle w:val="TriageReport"/>
      </w:pPr>
      <w:r>
        <w:t>Citation Reports</w:t>
      </w:r>
    </w:p>
    <w:p>
      <w:pPr>
        <w:spacing w:before="0" w:after="0"/>
      </w:pPr>
      <w:r/>
      <w:hyperlink w:anchor="seriousissues">
        <w:r>
          <w:rPr/>
          <w:t xml:space="preserve">↑ Triage</w:t>
        </w:r>
      </w:hyperlink>
    </w:p>
    <w:p>
      <w:pPr>
        <w:pStyle w:val="Heading3"/>
      </w:pPr>
      <w:r>
        <w:bookmarkStart w:id="11" w:name="barajasvprog8"/>
        <w:bookmarkEnd w:id="11" w:name="barajasvprog8"/>
      </w:r>
      <w:r>
        <w:t>Barajas v. Progressive Casualty Insurance Co. 2021 WL 5033507</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Plaintiff cites Barajas v. Progressive Casualty Insurance Co. to support the legal rule that under Federal Rule of Civil Procedure 81(c)(2), a state-court pleading is deemed sufficient in federal court following removal unless the court orders otherwise (p. 5). The context of this citation is the Plaintiff's argument that the County of Fresno, as the removing party, must accept the complaint as it was drafted under California's pleading standards rather than immediately demanding a federal-style complaint (p. 5). Plaintiff employs analogical reasoning by suggesting that just as the court in Barajas found a state-court pleading sufficient under Rule 81(c)(2), this Court should likewise find the current Complaint sufficient because the County chose to remove the action (p. 5). The legal reasoning from Barajas is interpreted as a "procedural protection" that establishes a presumption of sufficiency for removed pleadings (p. 5). Plaintiff directly applies this concept to argue that the County's motion for a more definite statement improperly disregards the standards set forth in Rule 81(c)(2) and supported by Barajas (p. 5).</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12" w:name="holmesvcityo9"/>
        <w:bookmarkEnd w:id="12" w:name="holmesvcityo9"/>
      </w:r>
      <w:r>
        <w:t>Holmes v. City of San Diego 2016 WL 3648961</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Plaintiff Elio Gamez's Opposition cites Holmes v. City of San Diego to support the legal proposition that a defendant cannot 'successfully assert unintelligibility' regarding a pleading while 'simultaneously offering detailed legal arguments refuting the allegations' (p. 8). This citation occurs within the argument that the First Claim for Relief provides adequate notice under Rule 8 (p. 7). The context involves Plaintiff's assertion that the County of Fresno's own motion contradicts its claim of vagueness, as the County was able to identify and 'dissect' specific legal theories such as the Bane Act, Section 1983, retaliation, due process, and free speech (pp. 7-8). The document interprets Holmes as establishing that a party's ability to articulate detailed refutations serves as proof that a complaint is sufficiently clear to permit a response (p. 8). Plaintiff employs an analogical application of this concept, arguing that because the County demonstrated a precise understanding of the legal theories in its motion, it cannot meet the high standard of 'unintelligibility' required for relief under Rule 12(e) (p. 8).</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13" w:name="robinsonvbor10"/>
        <w:bookmarkEnd w:id="13" w:name="robinsonvbor10"/>
      </w:r>
      <w:r>
        <w:t>Robinson v. Boren 841 F.2d 398</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Plaintiff Elio Gamez's Opposition cites Robinson v. Boren to establish the legal rule that the Monell doctrine—which requires a plaintiff to identify a municipal policy or custom to hold a public entity liable—applies exclusively to federal civil rights claims brought under 42 U.S.C. § 1983 and does not extend to state law claims (p. 8). The context of this citation is Plaintiff’s rebuttal to the County’s argument that the First Claim for Relief is a 'shotgun pleading' because it fails to specify a policy or custom supporting municipal liability (p. 8). Plaintiff uses Robinson v. Boren to interpret the boundaries of federal pleading requirements, arguing that because the County is being sued under a theory of vicarious liability pursuant to California Government Code § 815.2, the federal Monell standard is inapplicable (p. 8). The document directly applies the legal reasoning from Robinson v. Boren to demonstrate that the County's demand for a more definite statement regarding Monell allegations is legally unfounded, as the state law claims against the County do not require such a showing (p. 8).</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14" w:name="koernervvigi11"/>
        <w:bookmarkEnd w:id="14" w:name="koernervvigi11"/>
      </w:r>
      <w:r>
        <w:t>Koerner v. Vigilant Ins. Co. 2016 WL 4721242</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Plaintiff Elio Gamez's Opposition cites Koerner v. Vigilant Ins. Co. to establish the stringent legal standard required for a court to grant a motion for a more definite statement under Federal Rule of Civil Procedure 12(e) (p. 4). The document uses the case to support the legal rule that such a motion is only appropriate when a pleading is "so excessively vague and ambiguous as to be unintelligible and as to prejudice the defendant seriously in attempting to answer it" (p. 4). In the context of the Standard of Review section, the citation serves to emphasize that Rule 12(e) is a narrow remedy reserved for truly unintelligible pleadings rather than those merely lacking in detail (p. 4). The Plaintiff interprets the legal reasoning from Koerner as a directive to deny Rule 12(e) motions where the defendant is fairly apprised of the claims, even if they desire more evidentiary detail (p. 4). The document directly applies this legal concept by later arguing in Section IV.F that the County of Fresno has failed to meet this "high standard" because it has not identified any specific ambiguity that prevents a response (p. 9).</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15" w:name="griffinvcnty12"/>
        <w:bookmarkEnd w:id="15" w:name="griffinvcnty12"/>
      </w:r>
      <w:r>
        <w:t>Griffin v. Cnty. of Humboldt 2023 WL 2760322</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Plaintiff cites Griffin v. Cnty. of Humboldt to establish that Federal Rule of Civil Procedure 12(e) is a narrow remedy designed to address "unintelligible pleadings" rather than to mandate the inclusion of factual details that are "more appropriately obtained through discovery" (p. 4). Within the context of this opposition, Plaintiff uses Griffin to argue that the County of Fresno's motion is an improper attempt to use Rule 12(e) to gain evidentiary details or to force a specific pleading structure when the existing Complaint already provides adequate notice (p. 4, 9). Plaintiff interprets the legal reasoning in Griffin as setting a high threshold for granting a more definite statement, emphasizing that the rule is not intended to remedy a mere lack of detail (p. 4, 9). This legal concept is directly applied to the present matter; Plaintiff asserts that because the Complaint is not "excessively vague and ambiguous" and allows the County to prepare a response, the motion must be denied under the standard articulated in Griffin (p. 9).</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accurate">
        <w:r>
          <w:rPr/>
          <w:t xml:space="preserve">↑ Triage</w:t>
        </w:r>
      </w:hyperlink>
    </w:p>
    <w:p>
      <w:pPr>
        <w:pStyle w:val="Heading3"/>
      </w:pPr>
      <w:r>
        <w:bookmarkStart w:id="16" w:name="destfinovrei13"/>
        <w:bookmarkEnd w:id="16" w:name="destfinovrei13"/>
      </w:r>
      <w:r>
        <w:t>Destfino v. Reiswig 630 F.3d 952</w:t>
      </w:r>
    </w:p>
    <w:p>
      <w:pPr>
        <w:spacing w:before="240" w:after="240"/>
      </w:pPr>
      <w:r>
        <w:rPr>
          <w:b/>
          <w:i/>
          <w:color w:val="3A0517"/>
        </w:rPr>
        <w:t>Use of Citation</w:t>
      </w:r>
      <w:r>
        <w:t xml:space="preserve"> 🟢</w:t>
      </w:r>
    </w:p>
    <w:p>
      <w:pPr>
        <w:spacing w:before="0" w:after="0"/>
      </w:pPr>
      <w:r>
        <w:t>Plaintiff Elio Gamez's Opposition cites Destfino v. Reiswig, 630 F.3d 952 (9th Cir. 2011) to define and distinguish 'shotgun pleadings' in the context of a Rule 12(e) motion. The document cites Destfino for the legal rule that shotgun pleadings are those where 'each count incorporates all preceding counts by reference' and consequently 'fail to give the defendants adequate notice of the claims against them and the grounds upon which each claim rests' (p. 6). The context of this citation is to refute the County of Fresno's argument that the Plaintiff's First Claim for Relief is an impermissible shotgun pleading. Plaintiff employs analogical reasoning by contrasting the 'problematic' complaint in Destfino—which indiscriminately incorporated all preceding paragraphs and failed to specify which defendants were responsible for which conduct—with his own Complaint, which he describes as a concise, chronological narrative of specific events involving a single defendant (p. 6). Plaintiff interprets Destfino as establishing a standard where a pleading is only deficient if it makes it 'difficult, if not impossible, for the opposing party to formulate a response' (p. 7). Ultimately, the document uses Destfino as a point of contrast to demonstrate that the current Complaint provides sufficient detail for the County to admit, deny, or explain the allegations, thereby satisfying Rule 8 notice standards (p. 7).</w:t>
      </w:r>
    </w:p>
    <w:p>
      <w:pPr>
        <w:spacing w:before="240" w:after="240"/>
      </w:pPr>
      <w:r>
        <w:rPr>
          <w:b/>
          <w:i/>
          <w:color w:val="3A0517"/>
        </w:rPr>
        <w:t>Accuracy Review</w:t>
      </w:r>
    </w:p>
    <w:p>
      <w:pPr>
        <w:spacing w:before="0" w:after="0"/>
      </w:pPr>
      <w:r>
        <w:t>The application of Destfino v. Reiswig in the Opposition is an Accurate Application of the case's core legal principles. The Plaintiff correctly identifies Destfino as the controlling Ninth Circuit authority regarding 'shotgun pleadings' and the requirement that a complaint must provide enough detail to allow a defendant to formulate a response. The Plaintiff's use of analogical reasoning is sound: he contrasts the 'lumping' of dozens of defendants in Destfino with his own focused allegations against a single entity (the County). While Destfino specifically addressed fraud under Rule 9(b), the court's discussion of Rule 8(a)(2) and the 'short and plain statement' requirement is directly applicable to the County's Rule 12(e) challenge. The Plaintiff accurately interprets the Ninth Circuit's stance that pleadings are deficient when they are so vague that they create an 'undue burden' on the court and the parties, and he successfully demonstrates that his 19-paragraph chronological complaint does not meet that threshold of unintelligibility.</w:t>
      </w:r>
    </w:p>
    <w:p>
      <w:pPr>
        <w:spacing w:before="240" w:after="240"/>
      </w:pPr>
      <w:r>
        <w:rPr>
          <w:b/>
          <w:i/>
          <w:color w:val="3A0517"/>
        </w:rPr>
        <w:t>Use of Quotes</w:t>
      </w:r>
      <w:r>
        <w:bookmarkStart w:id="17" w:name="destfinovrei14"/>
        <w:bookmarkEnd w:id="17" w:name="destfinovrei14"/>
      </w:r>
    </w:p>
    <w:p>
      <w:pPr>
        <w:spacing w:before="240" w:after="240"/>
      </w:pPr>
      <w:r>
        <w:t xml:space="preserve">🔴 </w:t>
      </w:r>
      <w:r>
        <w:rPr>
          <w:b/>
          <w:i/>
          <w:color w:val="3A0517"/>
        </w:rPr>
        <w:t>Quote 1 - 630 F.3d 952, 958</w:t>
      </w:r>
    </w:p>
    <w:p>
      <w:pPr>
        <w:pStyle w:val="Quote"/>
      </w:pPr>
      <w:r>
        <w:t>each count incorporates all preceding counts by reference</w:t>
      </w:r>
    </w:p>
    <w:p>
      <w:pPr>
        <w:spacing w:before="0" w:after="0"/>
      </w:pPr>
      <w:r>
        <w:t>The quote 'each count incorporates all preceding counts by reference' does not appear verbatim in the provided text of Destfino v. Reiswig. While this is a standard definition of a 'shotgun pleading' used in federal courts, the Destfino court specifically characterized the problematic pleading as one that 'grouped multiple defendants together' and made 'everyone did everything' allegations.</w:t>
      </w:r>
    </w:p>
    <w:p>
      <w:pPr>
        <w:spacing w:before="240" w:after="240"/>
      </w:pPr>
      <w:r>
        <w:t xml:space="preserve">🔴 </w:t>
      </w:r>
      <w:r>
        <w:rPr>
          <w:b/>
          <w:i/>
          <w:color w:val="3A0517"/>
        </w:rPr>
        <w:t>Quote 1 - 630 F.3d 952, 958</w:t>
      </w:r>
    </w:p>
    <w:p>
      <w:pPr>
        <w:pStyle w:val="Quote"/>
      </w:pPr>
      <w:r>
        <w:t>fail to give the defendants adequate notice of the claims against them and the grounds upon which each claim rests</w:t>
      </w:r>
    </w:p>
    <w:p>
      <w:pPr>
        <w:spacing w:before="0" w:after="0"/>
      </w:pPr>
      <w:r>
        <w:t>The quote 'fail to give the defendants adequate notice of the claims against them and the grounds upon which each claim rests' does not appear verbatim in the Destfino opinion. It is a synthesis of the general Rule 8 notice pleading standard that the court applied to find the Destfino complaint deficient, but it is not a direct quote from the case text.</w:t>
      </w:r>
    </w:p>
    <w:p>
      <w:pPr>
        <w:spacing w:before="240" w:after="240"/>
      </w:pPr>
      <w:r>
        <w:t xml:space="preserve">🔴 </w:t>
      </w:r>
      <w:r>
        <w:rPr>
          <w:b/>
          <w:i/>
          <w:color w:val="3A0517"/>
        </w:rPr>
        <w:t>Quote 1 - 630 F.3d 952</w:t>
      </w:r>
    </w:p>
    <w:p>
      <w:pPr>
        <w:pStyle w:val="Quote"/>
      </w:pPr>
      <w:r>
        <w:t>difficult, if not impossible, for the opposing party to formulate a response</w:t>
      </w:r>
    </w:p>
    <w:p>
      <w:pPr>
        <w:spacing w:before="0" w:after="0"/>
      </w:pPr>
      <w:r>
        <w:t>The quote 'difficult, if not impossible, for the opposing party to formulate a response' does not appear in the text of Destfino v. Reiswig. The court in Destfino noted that the deficient pleadings would 'lead to broad discovery' and 'create an undue burden on the Court,' but the specific phrasing regarding the 'opposing party' is a characterization by the Plaintiff's counsel rather than a quote from the opinion.</w:t>
      </w:r>
    </w:p>
    <w:p>
      <w:pPr>
        <w:spacing w:before="240" w:after="240"/>
      </w:pPr>
      <w:r>
        <w:rPr>
          <w:b/>
          <w:i/>
          <w:color w:val="3A0517"/>
        </w:rPr>
        <w:t>Other Relevant Precedence</w:t>
      </w:r>
    </w:p>
    <w:p>
      <w:pPr>
        <w:spacing w:before="0" w:after="0"/>
      </w:pPr>
      <w:r>
        <w:rPr>
          <w:b/>
        </w:rPr>
        <w:t>1. United States ex rel. Silingo v. Wellpoint, Inc., 904 F.3d 667:</w:t>
      </w:r>
      <w:r>
        <w:t xml:space="preserve"> This Ninth Circuit case refines the "lumping" rule from </w:t>
      </w:r>
      <w:r>
        <w:rPr>
          <w:i/>
        </w:rPr>
        <w:t>Destfino</w:t>
      </w:r>
      <w:r>
        <w:t>, clarifying that group allegations are permissible when defendants are alleged to have engaged in identical conduct, which is highly relevant to the notice pleading standards and "shotgun pleading" arguments discussed in the Opposition.</w:t>
      </w:r>
    </w:p>
    <w:p>
      <w:pPr>
        <w:spacing w:before="0" w:after="0"/>
      </w:pPr>
      <w:r>
        <w:rPr>
          <w:b/>
        </w:rPr>
        <w:t>2. Lacey v. Maricopa County, 693 F.3d 896:</w:t>
      </w:r>
      <w:r>
        <w:t xml:space="preserve"> This Ninth Circuit case cites </w:t>
      </w:r>
      <w:r>
        <w:rPr>
          <w:i/>
        </w:rPr>
        <w:t>Destfino</w:t>
      </w:r>
      <w:r>
        <w:t xml:space="preserve"> regarding a court's inherent power to control its docket and dismiss complaints for failure to follow pleading instructions, providing more recent context for the procedural consequences of the pleading disputes raised in the Rule 12(e) motion.</w:t>
      </w:r>
    </w:p>
    <w:p>
      <w:r>
        <w:br w:type="page"/>
      </w:r>
    </w:p>
    <w:p>
      <w:pPr>
        <w:spacing w:before="0" w:after="0"/>
      </w:pPr>
      <w:r/>
      <w:hyperlink w:anchor="accurate">
        <w:r>
          <w:rPr/>
          <w:t xml:space="preserve">↑ Triage</w:t>
        </w:r>
      </w:hyperlink>
    </w:p>
    <w:p>
      <w:pPr>
        <w:pStyle w:val="Heading3"/>
      </w:pPr>
      <w:r>
        <w:bookmarkStart w:id="18" w:name="monell436us658"/>
        <w:bookmarkEnd w:id="18" w:name="monell436us658"/>
      </w:r>
      <w:r>
        <w:t>Monell 436 U.S. 658</w:t>
      </w:r>
    </w:p>
    <w:p>
      <w:pPr>
        <w:spacing w:before="240" w:after="240"/>
      </w:pPr>
      <w:r>
        <w:rPr>
          <w:b/>
          <w:i/>
          <w:color w:val="3A0517"/>
        </w:rPr>
        <w:t>Use of Citation</w:t>
      </w:r>
      <w:r>
        <w:t xml:space="preserve"> 🟢</w:t>
      </w:r>
    </w:p>
    <w:p>
      <w:pPr>
        <w:spacing w:before="0" w:after="0"/>
      </w:pPr>
      <w:r>
        <w:t>Plaintiff cites Monell v. Department of Social Services, 436 U.S. 658 (1978) to clarify the legal theories being pursued and to refute the Defendant's characterization of the Complaint as a 'shotgun pleading' (p. 6, 8). LEGAL RULES: The document cites Monell for the proposition that municipal liability under 42 U.S.C. § 1983 requires a plaintiff to 'specify a policy or custom supporting municipal liability' (p. 8). CONTEXT: The citation is used to respond to the County's motion, which argued that the Complaint was deficient for failing to explicitly cite Monell or § 1983 (p. 6). Plaintiff uses Monell to draw a distinction between federal municipal liability and state-law vicarious liability, explaining that the County is named as a defendant under California Government Code § 815.2 for the acts of its employees, not under a federal policy-based theory (p. 4, 8). INTERPRETATION: Plaintiff interprets Monell as a specific requirement for federal civil rights claims that 'applies only to claims under 42 U.S.C. § 1983, not to state law claims' (p. 8). APPLICATION: The document does not directly apply the legal concepts of Monell to the facts of the case; rather, it uses Monell as a point of contrast to argue that its requirements are inapplicable because 'no Monell claim is asserted, and none is required' for the state law claims pleaded (p. 4, 8).</w:t>
      </w:r>
    </w:p>
    <w:p>
      <w:pPr>
        <w:spacing w:before="240" w:after="240"/>
      </w:pPr>
      <w:r>
        <w:rPr>
          <w:b/>
          <w:i/>
          <w:color w:val="3A0517"/>
        </w:rPr>
        <w:t>Accuracy Review</w:t>
      </w:r>
    </w:p>
    <w:p>
      <w:pPr>
        <w:spacing w:before="0" w:after="0"/>
      </w:pPr>
      <w:r>
        <w:t>The document's citation of Monell is an example of accurate application through negative contrast. The Plaintiff correctly identifies the core holding of Monell: that municipal liability under § 1983 requires a showing of an official policy or custom and cannot be based on respondeat superior. By citing Monell, the Plaintiff effectively refutes the Defendant's argument that the Complaint is a 'shotgun pleading' for failing to meet Monell's specific pleading requirements. The Plaintiff critically distinguishes the doctrinal boundaries of Monell, noting it applies strictly to federal § 1983 claims and does not govern state-law claims brought under California Government Code § 815.2. This distinction is legally sound, as Monell is an interpretation of federal statutory intent regarding § 1983, not a universal rule for all claims against municipalities. The document avoids technical misapplication by explicitly disclaiming the assertion of a Monell claim, thereby rendering the Defendant's objections regarding 'policy or custom' irrelevant to the current pleading stage of the state-law causes of action. The outcome alignment is consistent with established precedence (e.g., Robinson v. Solano County), which confirms that state law may provide for broader municipal liability than the restrictive federal standard.</w:t>
      </w:r>
    </w:p>
    <w:p>
      <w:pPr>
        <w:spacing w:before="240" w:after="240"/>
      </w:pPr>
      <w:r>
        <w:rPr>
          <w:b/>
          <w:i/>
          <w:color w:val="3A0517"/>
        </w:rPr>
        <w:t>Applicable Negative Treatment</w:t>
      </w:r>
    </w:p>
    <w:p>
      <w:pPr>
        <w:spacing w:before="0" w:after="0"/>
      </w:pPr>
      <w:r>
        <w:rPr>
          <w:b/>
        </w:rPr>
        <w:t>1. Truth v. Kent School Dist., 542 F.3d 634:</w:t>
      </w:r>
      <w:r>
        <w:t xml:space="preserve"> This case limited the application of </w:t>
      </w:r>
      <w:r>
        <w:rPr>
          <w:i/>
        </w:rPr>
        <w:t>Monell</w:t>
      </w:r>
      <w:r>
        <w:t xml:space="preserve"> by holding that the requirements for establishing a municipal policy or custom do not apply to § 1983 actions where the plaintiffs seek only prospective relief, such as injunctions or declaratory judgments.</w:t>
      </w:r>
    </w:p>
    <w:p>
      <w:pPr>
        <w:spacing w:before="0" w:after="0"/>
      </w:pPr>
      <w:r>
        <w:rPr>
          <w:b/>
        </w:rPr>
        <w:t>2. City of Oklahoma City v. Tuttle, 471 U.S. 808:</w:t>
      </w:r>
      <w:r>
        <w:t xml:space="preserve"> This case limited the </w:t>
      </w:r>
      <w:r>
        <w:rPr>
          <w:i/>
        </w:rPr>
        <w:t>Monell</w:t>
      </w:r>
      <w:r>
        <w:t xml:space="preserve"> holding by requiring more than a single incident of unconstitutional activity to establish a municipal "policy" when the alleged policy is "nebulous" (such as inadequate training) and not unconstitutional on its face.</w:t>
      </w:r>
    </w:p>
    <w:p>
      <w:pPr>
        <w:spacing w:before="0" w:after="0"/>
      </w:pPr>
      <w:r>
        <w:rPr>
          <w:b/>
        </w:rPr>
        <w:t>3. Jett v. Dallas Independent School District, 491 U.S. 701:</w:t>
      </w:r>
      <w:r>
        <w:t xml:space="preserve"> This case limited municipal liability by holding that the </w:t>
      </w:r>
      <w:r>
        <w:rPr>
          <w:i/>
        </w:rPr>
        <w:t>Monell</w:t>
      </w:r>
      <w:r>
        <w:t xml:space="preserve"> "policy or custom" requirement also applies to claims brought under 42 U.S.C. § 1981 when the defendant is a state actor, establishing § 1983 as the exclusive federal remedy in that context.</w:t>
      </w:r>
    </w:p>
    <w:p>
      <w:pPr>
        <w:spacing w:before="0" w:after="0"/>
      </w:pPr>
      <w:r>
        <w:rPr>
          <w:b/>
        </w:rPr>
        <w:t>4. US v. Town of Colorado City, 935 F.3d 804:</w:t>
      </w:r>
      <w:r>
        <w:t xml:space="preserve"> This case declined to extend </w:t>
      </w:r>
      <w:r>
        <w:rPr>
          <w:i/>
        </w:rPr>
        <w:t>Monell</w:t>
      </w:r>
      <w:r>
        <w:t xml:space="preserve">’s rejection of </w:t>
      </w:r>
      <w:r>
        <w:rPr>
          <w:i/>
        </w:rPr>
        <w:t>respondeat superior</w:t>
      </w:r>
      <w:r>
        <w:t xml:space="preserve"> liability to claims brought under 34 U.S.C. § 12601, concluding that the text of that specific statute supports imposing liability on local governments for the practices of their agents based on general agency principles.</w:t>
      </w:r>
    </w:p>
    <w:p>
      <w:pPr>
        <w:spacing w:before="0" w:after="0"/>
      </w:pPr>
      <w:r>
        <w:rPr>
          <w:b/>
        </w:rPr>
        <w:t>5. Quern v. Jordan, 440 U.S. 332:</w:t>
      </w:r>
      <w:r>
        <w:t xml:space="preserve"> This case limited the scope of </w:t>
      </w:r>
      <w:r>
        <w:rPr>
          <w:i/>
        </w:rPr>
        <w:t>Monell</w:t>
      </w:r>
      <w:r>
        <w:t xml:space="preserve"> by clarifying that its holding—treating municipalities as "persons" under § 1983—did not abrogate the States' Eleventh Amendment immunity against retroactive monetary relief.</w:t>
      </w:r>
    </w:p>
    <w:p>
      <w:pPr>
        <w:spacing w:before="240" w:after="240"/>
      </w:pPr>
      <w:r>
        <w:rPr>
          <w:b/>
          <w:i/>
          <w:color w:val="3A0517"/>
        </w:rPr>
        <w:t>Other Relevant Precedence</w:t>
      </w:r>
    </w:p>
    <w:p>
      <w:pPr>
        <w:spacing w:before="0" w:after="0"/>
      </w:pPr>
      <w:r>
        <w:rPr>
          <w:b/>
        </w:rPr>
        <w:t>1. Robinson v. Solano County, 218 F.3d 1030:</w:t>
      </w:r>
      <w:r>
        <w:t xml:space="preserve"> This Ninth Circuit case is highly on-point as it explicitly distinguishes </w:t>
      </w:r>
      <w:r>
        <w:rPr>
          <w:i/>
        </w:rPr>
        <w:t>Monell</w:t>
      </w:r>
      <w:r>
        <w:t xml:space="preserve"> from California state law claims, noting that California has rejected the </w:t>
      </w:r>
      <w:r>
        <w:rPr>
          <w:i/>
        </w:rPr>
        <w:t>Monell</w:t>
      </w:r>
      <w:r>
        <w:t xml:space="preserve"> rule and instead holds counties liable for employee acts under respondeat superior pursuant to California Government Code § 815.2.</w:t>
      </w:r>
    </w:p>
    <w:p>
      <w:pPr>
        <w:spacing w:before="0" w:after="0"/>
      </w:pPr>
      <w:r>
        <w:rPr>
          <w:b/>
        </w:rPr>
        <w:t>2. Perez v. City of Fresno, 98 F.4th 919:</w:t>
      </w:r>
      <w:r>
        <w:t xml:space="preserve"> This recent Ninth Circuit decision involves the same defendant and reinforces the principle that municipal liability under 42 U.S.C. § 1983 requires a specific policy or custom and cannot be premised on respondeat superior, supporting the distinction between federal and state liability theories.</w:t>
      </w:r>
    </w:p>
    <w:p>
      <w:pPr>
        <w:spacing w:before="0" w:after="0"/>
      </w:pPr>
      <w:r>
        <w:rPr>
          <w:b/>
        </w:rPr>
        <w:t>3. AE ex rel. Hernandez v. County of Tulare, 666 F.3d 631:</w:t>
      </w:r>
      <w:r>
        <w:t xml:space="preserve"> This case from the same district (Eastern District of California) addresses the pleading standards for municipal liability and clarifies that a plaintiff must demonstrate a deliberate policy or custom was the "moving force" behind a constitutional violation.</w:t>
      </w:r>
    </w:p>
    <w:p>
      <w:pPr>
        <w:spacing w:before="0" w:after="0"/>
      </w:pPr>
      <w:r>
        <w:rPr>
          <w:b/>
        </w:rPr>
        <w:t>4. Venegas v. County of Los Angeles, 32 Cal. 4th 820:</w:t>
      </w:r>
      <w:r>
        <w:t xml:space="preserve"> This California Supreme Court case clarifies the scope of liability for local government entities under § 1983 and distinguishes between state and local officials, which is relevant to the Plaintiff's argument regarding vicarious liability under state law.</w:t>
      </w:r>
    </w:p>
    <w:p>
      <w:pPr>
        <w:spacing w:before="0" w:after="0"/>
      </w:pPr>
      <w:r>
        <w:rPr>
          <w:b/>
        </w:rPr>
        <w:t>5. Kirkpatrick v. County of Washoe, 843 F.3d 784:</w:t>
      </w:r>
      <w:r>
        <w:t xml:space="preserve"> This Ninth Circuit case clarifies the legal standard for municipal liability under § 1983, emphasizing that while municipalities are suable "persons," liability requires an official policy or custom rather than mere respondeat superior.</w:t>
      </w:r>
    </w:p>
    <w:p>
      <w:r>
        <w:br w:type="page"/>
      </w:r>
    </w:p>
    <w:p>
      <w:pPr>
        <w:spacing w:before="0" w:after="0"/>
      </w:pPr>
      <w:r/>
      <w:hyperlink w:anchor="accurate">
        <w:r>
          <w:rPr/>
          <w:t xml:space="preserve">↑ Triage</w:t>
        </w:r>
      </w:hyperlink>
    </w:p>
    <w:p>
      <w:pPr>
        <w:pStyle w:val="Heading3"/>
      </w:pPr>
      <w:r>
        <w:bookmarkStart w:id="19" w:name="civilcode521"/>
        <w:bookmarkEnd w:id="19" w:name="civilcode521"/>
      </w:r>
      <w:r>
        <w:t>Civil Code § 52.1</w:t>
      </w:r>
    </w:p>
    <w:p>
      <w:pPr>
        <w:spacing w:before="240" w:after="240"/>
      </w:pPr>
      <w:r>
        <w:rPr>
          <w:b/>
          <w:i/>
          <w:color w:val="3A0517"/>
        </w:rPr>
        <w:t>Use of Citation</w:t>
      </w:r>
      <w:r>
        <w:t xml:space="preserve"> 🟢</w:t>
      </w:r>
    </w:p>
    <w:p>
      <w:pPr>
        <w:spacing w:before="0" w:after="0"/>
      </w:pPr>
      <w:r>
        <w:t>Plaintiff Elio Gamez cites California Civil Code section 52.1, also known as the Bane Act, as one of the primary "statutory foundations for relief" in his First Claim for Relief (p. 7). The statute is used to support the proposition that the County of Fresno is liable for civil rights violations arising from the "same nucleus of operative facts" as his federal claims, specifically involving the denial of medical care and subsequent retaliation (p. 3). In the context of this opposition, the citation serves to refute the Defendant's argument that the Complaint is an impermissible "shotgun pleading." Plaintiff argues that by invoking section 52.1 alongside 42 U.S.C. § 1983, he has provided the County with adequate notice of the legal basis for his claims (p. 7). The document employs analogical reasoning to distinguish this case from precedents like Gibson v. City of Portland and Destfino v. Reiswig, noting that unlike those cases, this Complaint identifies specific conduct—such as the confiscation of a medical brace and retaliatory beatings—linked to the statutory protections of the Bane Act (p. 6-7). Furthermore, Plaintiff interprets the application of section 52.1 in conjunction with California Government Code § 815.2, asserting that the County is "vicariously liable under state law for the misconduct of its individual employees" (p. 4, 8). This interpretation is used to clarify that the state law claim does not require the pleading of a federal Monell theory, as the County's liability for the Bane Act violations is established through the statutory framework of vicarious liability for employees acting within the scope of their employment (p. 8).</w:t>
      </w:r>
    </w:p>
    <w:p>
      <w:pPr>
        <w:spacing w:before="240" w:after="240"/>
      </w:pPr>
      <w:r>
        <w:rPr>
          <w:b/>
          <w:i/>
          <w:color w:val="3A0517"/>
        </w:rPr>
        <w:t>Accuracy Review</w:t>
      </w:r>
    </w:p>
    <w:p>
      <w:pPr>
        <w:spacing w:before="0" w:after="0"/>
      </w:pPr>
      <w:r>
        <w:t>The citation to California Civil Code section 52.1 is legally sound and contextually appropriate. The Plaintiff accurately identifies the Bane Act as a statutory foundation for relief in a case involving alleged physical abuse and retaliation by jail staff, which fits the 'threat, intimidation, or coercion' requirement of the statute. The document correctly applies the statute within the procedural context of a Rule 12(e) motion, arguing that the invocation of this specific code section provides the Defendant with sufficient notice of the legal theory being pursued. Furthermore, the Plaintiff's reliance on the interaction between section 52.1 and California Government Code section 815.2 is technically correct; under California law, public entities are vicariously liable for the torts of their employees, and section 52.1(n) specifically preserves this liability for civil rights violations notwithstanding other statutory immunities. The document successfully distinguishes this state-law framework from federal section 1983 requirements, avoiding the common error of conflating Monell requirements with state-law entity liability.</w:t>
      </w:r>
    </w:p>
    <w:p>
      <w:r>
        <w:br w:type="page"/>
      </w:r>
    </w:p>
    <w:p>
      <w:pPr>
        <w:spacing w:before="0" w:after="0"/>
      </w:pPr>
      <w:r/>
      <w:hyperlink w:anchor="accurate">
        <w:r>
          <w:rPr/>
          <w:t xml:space="preserve">↑ Triage</w:t>
        </w:r>
      </w:hyperlink>
    </w:p>
    <w:p>
      <w:pPr>
        <w:pStyle w:val="Heading3"/>
      </w:pPr>
      <w:r>
        <w:bookmarkStart w:id="20" w:name="governmentcode8152"/>
        <w:bookmarkEnd w:id="20" w:name="governmentcode8152"/>
      </w:r>
      <w:r>
        <w:t>Government Code § 815.2</w:t>
      </w:r>
    </w:p>
    <w:p>
      <w:pPr>
        <w:spacing w:before="240" w:after="240"/>
      </w:pPr>
      <w:r>
        <w:rPr>
          <w:b/>
          <w:i/>
          <w:color w:val="3A0517"/>
        </w:rPr>
        <w:t>Use of Citation</w:t>
      </w:r>
      <w:r>
        <w:t xml:space="preserve"> 🟢</w:t>
      </w:r>
    </w:p>
    <w:p>
      <w:pPr>
        <w:spacing w:before="0" w:after="0"/>
      </w:pPr>
      <w:r>
        <w:t>Plaintiff Elio Gamez cites California Government Code section 815.2 to establish the legal basis for holding the Defendant, County of Fresno, liable for the actions of its employees under a theory of vicarious liability (p. 4, 8). The statute supports the proposition that a public entity is responsible for injuries caused by the acts or omissions of its employees when those employees are acting within the scope of their employment (p. 8). In the context of this opposition, Plaintiff uses section 815.2 to refute the County's argument that the complaint is a 'shotgun pleading' for failing to allege a Monell claim (p. 8). Plaintiff clarifies that because the County is being sued under state-law vicarious liability rather than a federal municipal liability theory, no Monell allegations regarding official policy or custom are required (p. 8). To support this distinction, Plaintiff relies on Robinson v. Boren, which establishes that Monell requirements apply only to 42 U.S.C. § 1983 claims and not to state law claims (p. 8). The document interprets section 815.2 as the definitive standard for vicarious liability of public entities in California, allowing the County to be named as a defendant for the alleged misconduct of 'Unknown Jail Staff and Unknown C.O.s' who were acting within the course and scope of their employment (p. 4, 8).</w:t>
      </w:r>
    </w:p>
    <w:p>
      <w:pPr>
        <w:spacing w:before="240" w:after="240"/>
      </w:pPr>
      <w:r>
        <w:rPr>
          <w:b/>
          <w:i/>
          <w:color w:val="3A0517"/>
        </w:rPr>
        <w:t>Accuracy Review</w:t>
      </w:r>
    </w:p>
    <w:p>
      <w:pPr>
        <w:spacing w:before="0" w:after="0"/>
      </w:pPr>
      <w:r>
        <w:t>The citation is accurate and appropriately applied. The Plaintiff uses section 815.2 to clarify the legal theory of the complaint—vicarious liability—and to explain why federal pleading standards for municipal liability (Monell) do not apply to the state law claims. This is a standard application of California's Government Claims Act in federal court for supplemental state law claims. The document correctly identifies that the County's liability is derivative of its employees' conduct under state law, which is distinct from the direct liability requirements of section 1983.</w:t>
      </w:r>
    </w:p>
    <w:p>
      <w:pPr>
        <w:spacing w:before="240" w:after="240"/>
      </w:pPr>
      <w:r>
        <w:rPr>
          <w:b/>
          <w:i/>
          <w:color w:val="3A0517"/>
        </w:rPr>
        <w:t>Use of Quotes</w:t>
      </w:r>
      <w:r>
        <w:bookmarkStart w:id="21" w:name="governmentco18"/>
        <w:bookmarkEnd w:id="21" w:name="governmentco18"/>
      </w:r>
    </w:p>
    <w:p>
      <w:pPr>
        <w:spacing w:before="240" w:after="240"/>
      </w:pPr>
      <w:r>
        <w:t xml:space="preserve">🟢 </w:t>
      </w:r>
      <w:r>
        <w:rPr>
          <w:b/>
          <w:i/>
          <w:color w:val="3A0517"/>
        </w:rPr>
        <w:t>Quote 1 - Government Code § 815.2(a)</w:t>
      </w:r>
    </w:p>
    <w:p>
      <w:pPr>
        <w:pStyle w:val="Quote"/>
      </w:pPr>
      <w:r>
        <w:t>[a] public entity is liable for injury proximately caused by an act or omission of an employee of the public entity within the scope of his employment if the act or omission would, apart from this section, have given rise to a cause of action against that employee or his personal representative.</w:t>
      </w:r>
    </w:p>
    <w:p>
      <w:pPr>
        <w:spacing w:before="0" w:after="0"/>
      </w:pPr>
      <w:r>
        <w:t>The quote actually exists in the source statute as subsection (a). It is a verbatim and accurate reproduction of the text. It is contextually complete as it provides the full rule for establishing the liability of a public entity for employee acts.</w:t>
      </w:r>
    </w:p>
    <w:p>
      <w:r>
        <w:br w:type="page"/>
      </w:r>
    </w:p>
    <w:p>
      <w:pPr>
        <w:spacing w:before="0" w:after="0"/>
      </w:pPr>
      <w:r/>
      <w:hyperlink w:anchor="accurate">
        <w:r>
          <w:rPr/>
          <w:t xml:space="preserve">↑ Triage</w:t>
        </w:r>
      </w:hyperlink>
    </w:p>
    <w:p>
      <w:pPr>
        <w:pStyle w:val="Heading3"/>
      </w:pPr>
      <w:r>
        <w:bookmarkStart w:id="22" w:name="governmentcode818"/>
        <w:bookmarkEnd w:id="22" w:name="governmentcode818"/>
      </w:r>
      <w:r>
        <w:t>Government Code § 818</w:t>
      </w:r>
    </w:p>
    <w:p>
      <w:pPr>
        <w:spacing w:before="240" w:after="240"/>
      </w:pPr>
      <w:r>
        <w:rPr>
          <w:b/>
          <w:i/>
          <w:color w:val="3A0517"/>
        </w:rPr>
        <w:t>Use of Citation</w:t>
      </w:r>
      <w:r>
        <w:t xml:space="preserve"> 🟢</w:t>
      </w:r>
    </w:p>
    <w:p>
      <w:pPr>
        <w:spacing w:before="0" w:after="0"/>
      </w:pPr>
      <w:r>
        <w:t>Plaintiff Elio Gamez cites California Government Code section 818 to support the legal rule that punitive damages are not recoverable against a public entity, but may be sought against individual defendants (p. 10). The citation appears in the context of addressing a specific objection raised by the County of Fresno regarding an 'apparent inconsistency' in the Complaint (p. 10). The County argued that the First Claim for Relief requested punitive damages 'against all defendants' (which would include the County), while the Prayer for Relief requested them only against individual defendants (p. 10). Plaintiff uses section 818 to clarify his legal position, stating that punitive damages are 'sought only against individual defendants' to remain 'consistent with California Government Code § 818' (p. 10). This citation functions as a corrective clarification to resolve a perceived ambiguity that the County used to justify its Motion for a More Definite Statement. While the document extensively discusses California Government Code § 815.2 to establish the County's vicarious liability for the acts of its employees (p. 4, 8), section 818 is interpreted as the specific statutory limitation that precludes the recovery of punitive damages from the public entity itself, even when that entity is otherwise vicariously liable for the underlying misconduct (p. 10).</w:t>
      </w:r>
    </w:p>
    <w:p>
      <w:pPr>
        <w:spacing w:before="240" w:after="240"/>
      </w:pPr>
      <w:r>
        <w:rPr>
          <w:b/>
          <w:i/>
          <w:color w:val="3A0517"/>
        </w:rPr>
        <w:t>Accuracy Review</w:t>
      </w:r>
    </w:p>
    <w:p>
      <w:pPr>
        <w:spacing w:before="0" w:after="0"/>
      </w:pPr>
      <w:r>
        <w:t>The citation to CA Government Code section 818 is an accurate and appropriate application of the law. The Plaintiff correctly identifies the statute as the legal basis for why a public entity cannot be held liable for punitive damages. There is no technical misapplication or contextual overextension; the Plaintiff is using the statute precisely for its intended purpose: to define the limits of liability for a government entity. By acknowledging this statutory limitation, the Plaintiff effectively narrows the legal issues and resolves a 'vagueness' argument raised by the Defendant in their Rule 12(e) motion. The application is complete in that it recognizes the distinction between the entity's vicarious liability for general misconduct (under section 815.2) and its specific immunity from punitive awards (under section 818). The outcome—clarifying that punitive damages are only sought against individual 'Does'—is perfectly aligned with the legislative intent of protecting the public treasury from exemplary awards.</w:t>
      </w:r>
    </w:p>
    <w:p>
      <w:r>
        <w:br w:type="page"/>
      </w:r>
    </w:p>
    <w:p>
      <w:pPr>
        <w:spacing w:before="0" w:after="0"/>
      </w:pPr>
      <w:r/>
      <w:hyperlink w:anchor="accurate">
        <w:r>
          <w:rPr/>
          <w:t xml:space="preserve">↑ Triage</w:t>
        </w:r>
      </w:hyperlink>
    </w:p>
    <w:p>
      <w:pPr>
        <w:pStyle w:val="Heading3"/>
      </w:pPr>
      <w:r>
        <w:bookmarkStart w:id="23" w:name="governmentcode900"/>
        <w:bookmarkEnd w:id="23" w:name="governmentcode900"/>
      </w:r>
      <w:r>
        <w:t>Government Code § 900</w:t>
      </w:r>
    </w:p>
    <w:p>
      <w:pPr>
        <w:spacing w:before="240" w:after="240"/>
      </w:pPr>
      <w:r>
        <w:rPr>
          <w:b/>
          <w:i/>
          <w:color w:val="3A0517"/>
        </w:rPr>
        <w:t>Use of Citation</w:t>
      </w:r>
      <w:r>
        <w:t xml:space="preserve"> 🟢</w:t>
      </w:r>
    </w:p>
    <w:p>
      <w:pPr>
        <w:spacing w:before="0" w:after="0"/>
      </w:pPr>
      <w:r>
        <w:t>The document cites California Government Code section 900 et seq., referred to as the Government Claims Act, to address the Defendant's argument that the Plaintiff's retaliation claim might be barred for failure to present a timely administrative claim (p. 9). Plaintiff uses this citation to support the proposition that the Complaint already contains a sufficient allegation of compliance with the Act's requirements, specifically noting that claims were submitted "within six months of the issues alleged herein" (p. 9). The precise context of the citation is a rebuttal to the County's Motion for a More Definite Statement; Plaintiff argues that any potential deficiency under the Government Claims Act is a "substantive defense" and not a basis for relief under Rule 12(e), which is reserved for "unintelligible" pleadings (p. 9). Plaintiff employs analogical reasoning by citing Beery v. Hitachi Home Elecs. (Am.), Inc., 157 F.R.D. 477, 480 (C.D. Cal. 1993), to argue that Rule 12(e) "may not be used to obtain evidentiary details" or to challenge the "legal sufficiency of claims," which are matters properly raised in an answer or a motion for summary judgment (p. 4, 9). The statutory rules from section 900 are interpreted as a procedural prerequisite for which a general allegation of compliance in the complaint provides adequate notice to the defendant, allowing them to prepare a response or assert a defense in their answer (p. 9).</w:t>
      </w:r>
    </w:p>
    <w:p>
      <w:pPr>
        <w:spacing w:before="240" w:after="240"/>
      </w:pPr>
      <w:r>
        <w:rPr>
          <w:b/>
          <w:i/>
          <w:color w:val="3A0517"/>
        </w:rPr>
        <w:t>Accuracy Review</w:t>
      </w:r>
    </w:p>
    <w:p>
      <w:pPr>
        <w:spacing w:before="0" w:after="0"/>
      </w:pPr>
      <w:r>
        <w:t>The citation to CA Government Code section 900 is an accurate application of legal referencing. While Section 900 itself is merely a definitional scope provision, the use of the 'et seq.' suffix correctly identifies the entire statutory scheme of the California Government Claims Act. The document accurately characterizes the Act's purpose in the context of litigation against a public entity like the County of Fresno. There is no technical misapplication or contextual overextension, as the Plaintiff is not claiming Section 900 specifically creates the six-month rule, but rather that the Complaint alleges compliance with the Act starting at that section. The argument correctly identifies that administrative exhaustion under the Act is a substantive requirement often treated as an affirmative defense in federal court, which aligns with the procedural standards of Rule 12(e) that focus on intelligibility rather than the legal merits of the claims.</w:t>
      </w:r>
    </w:p>
    <w:p>
      <w:r>
        <w:br w:type="page"/>
      </w:r>
    </w:p>
    <w:p>
      <w:pPr>
        <w:spacing w:before="0" w:after="0"/>
      </w:pPr>
      <w:r/>
      <w:hyperlink w:anchor="accurate">
        <w:r>
          <w:rPr/>
          <w:t xml:space="preserve">↑ Triage</w:t>
        </w:r>
      </w:hyperlink>
    </w:p>
    <w:p>
      <w:pPr>
        <w:pStyle w:val="Heading3"/>
      </w:pPr>
      <w:r>
        <w:bookmarkStart w:id="24" w:name="42usc1983"/>
        <w:bookmarkEnd w:id="24" w:name="42usc1983"/>
      </w:r>
      <w:r>
        <w:t>42 U.S.C. § 1983</w:t>
      </w:r>
    </w:p>
    <w:p>
      <w:pPr>
        <w:spacing w:before="240" w:after="240"/>
      </w:pPr>
      <w:r>
        <w:rPr>
          <w:b/>
          <w:i/>
          <w:color w:val="3A0517"/>
        </w:rPr>
        <w:t>Use of Citation</w:t>
      </w:r>
      <w:r>
        <w:t xml:space="preserve"> 🟢</w:t>
      </w:r>
    </w:p>
    <w:p>
      <w:pPr>
        <w:spacing w:before="0" w:after="0"/>
      </w:pPr>
      <w:r>
        <w:t>The document cites 42 U.S.C. § 1983 as a primary statutory foundation for the federal civil rights protections asserted in the First Claim for Relief (p. 7). It is used to support the proposition that the Plaintiff is seeking legal redress for constitutional violations, such as deliberate indifference to medical needs and retaliation for protected activity (p. 7). In the context of the litigation, the citation appears as a rebuttal to the Defendant's characterization of the complaint as a "shotgun pleading" (p. 6). The Plaintiff clarifies that while the complaint initially referenced the "1871 Civil Rights Act," this is legally understood to mean 42 U.S.C. § 1983 (p. 7). Furthermore, the document uses the citation to distinguish between federal and state liability theories; specifically, it argues that the requirements for municipal liability established in Monell v. Department of Social Services apply exclusively to claims brought under 42 U.S.C. § 1983 (p. 8). By citing Robinson v. Boren, the Plaintiff emphasizes that these federal standards do not govern state law claims, where the County faces vicarious liability under California Government Code § 815.2 (p. 8). Consequently, the statutory rules of § 1983 are interpreted as providing a federal cause of action that is distinct in its pleading requirements and liability scope from California's statutory framework for public entity liability (p. 8).</w:t>
      </w:r>
    </w:p>
    <w:p>
      <w:pPr>
        <w:spacing w:before="240" w:after="240"/>
      </w:pPr>
      <w:r>
        <w:rPr>
          <w:b/>
          <w:i/>
          <w:color w:val="3A0517"/>
        </w:rPr>
        <w:t>Accuracy Review</w:t>
      </w:r>
    </w:p>
    <w:p>
      <w:pPr>
        <w:spacing w:before="0" w:after="0"/>
      </w:pPr>
      <w:r>
        <w:t>The citation of 42 U.S.C. § 1983 is legally accurate and appropriately contextualized within the opposition brief. The Plaintiff correctly identifies § 1983 as the statutory vehicle for federal civil rights claims and accurately distinguishes the federal standard for municipal liability from state law standards. Specifically, the document correctly asserts that the restrictive Monell requirements—which prohibit respondeat superior liability for municipalities under § 1983—do not extend to state law claims brought under California Government Code § 815.2. By explicitly disclaiming a Monell theory, the Plaintiff avoids the technical misapplication of federal pleading standards to state law causes of action. The citation serves to clarify the scope of the litigation and rebuts the Defendant's 'shotgun pleading' argument by demonstrating that the legal theories are distinct and governed by different liability frameworks. There is no evidence of contextual overextension; rather, the Plaintiff uses the citation to define the boundaries of the federal claims versus the state claims for which the County is allegedly vicariously liable.</w:t>
      </w:r>
    </w:p>
    <w:p>
      <w:r>
        <w:br w:type="page"/>
      </w:r>
    </w:p>
    <w:p>
      <w:pPr>
        <w:spacing w:before="0" w:after="0"/>
      </w:pPr>
      <w:r/>
      <w:hyperlink w:anchor="unavailable">
        <w:r>
          <w:rPr/>
          <w:t xml:space="preserve">↑ Triage</w:t>
        </w:r>
      </w:hyperlink>
    </w:p>
    <w:p>
      <w:pPr>
        <w:pStyle w:val="Heading3"/>
      </w:pPr>
      <w:r>
        <w:bookmarkStart w:id="25" w:name="beeryvhitach22"/>
        <w:bookmarkEnd w:id="25" w:name="beeryvhitach22"/>
      </w:r>
      <w:r>
        <w:t>Beery v. Hitachi Home Elecs. (Am.), Inc. 157 F.R.D. 477</w:t>
      </w:r>
    </w:p>
    <w:p>
      <w:pPr>
        <w:spacing w:before="240" w:after="240"/>
      </w:pPr>
      <w:r>
        <w:rPr>
          <w:b/>
          <w:i/>
          <w:color w:val="3A0517"/>
        </w:rPr>
        <w:t>Use of Citation</w:t>
      </w:r>
      <w:r>
        <w:t xml:space="preserve"> ⚪</w:t>
      </w:r>
    </w:p>
    <w:p>
      <w:pPr>
        <w:spacing w:before="0" w:after="0"/>
      </w:pPr>
      <w:r>
        <w:t>Plaintiff Elio Gamez's Opposition cites Beery v. Hitachi Home Elecs. (Am.), Inc. to establish the restrictive standard for granting a Motion for a More Definite Statement under Rule 12(e). Specifically, the document cites Beery for the legal rules that such a motion should be denied if the complaint "fairly apprises defendant of the nature of the claims" (p. 4) and that Rule 12(e) "may not be used to obtain evidentiary details" (p. 9). In the context of the Standard of Review section, the document uses Beery to support the assertion that federal courts construe Rule 12(e) narrowly, reserving it for pleadings that are genuinely unintelligible rather than merely lacking in detail (p. 4). Later, in Section IV.E, the document applies Beery to argue that the County's concerns regarding the Government Claims Act are substantive defenses or evidentiary matters that do not justify a more definite statement (p. 9). The document interprets Beery as prioritizing notice over granular detail. It directly applies Beery's legal concepts to the present case, arguing that because the Complaint provides a clear narrative of the wrist injury and subsequent retaliation, it satisfies the notice requirement and the County's request for more detail is an improper use of the rule (pp. 4, 9).</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26" w:name="gibsonvcityo23"/>
        <w:bookmarkEnd w:id="26" w:name="gibsonvcityo23"/>
      </w:r>
      <w:r>
        <w:t>Gibson v. City of Portland 2026 WL 235118</w:t>
      </w:r>
    </w:p>
    <w:p>
      <w:pPr>
        <w:spacing w:before="240" w:after="240"/>
      </w:pPr>
      <w:r>
        <w:rPr>
          <w:b/>
          <w:i/>
          <w:color w:val="3A0517"/>
        </w:rPr>
        <w:t>Use of Citation</w:t>
      </w:r>
      <w:r>
        <w:t xml:space="preserve"> ⚪</w:t>
      </w:r>
    </w:p>
    <w:p>
      <w:pPr>
        <w:spacing w:before="0" w:after="0"/>
      </w:pPr>
      <w:r>
        <w:t>Plaintiff cites Gibson v. City of Portland to define and distinguish the current Complaint from an "improper 'shotgun' pleading" (p. 6). The legal rule Plaintiff identifies from Gibson is that a pleading is deficient when it asserts multiple causes of action against multiple defendants without specifying "who did what" and indiscriminately incorporates all preceding factual allegations into every count (p. 6). The citation arises because the Defendant County relied on Gibson in its motion to argue that Plaintiff's First Claim for Relief was improperly pleaded (p. 6). Plaintiff interprets the reasoning in Gibson as targeting complaints that are so vague they make it "difficult, if not impossible, for the opposing party to formulate a response" (p. 7). Plaintiff applies Gibson as a point of contrast, using analogical reasoning to show that while the Gibson complaint involved 252 paragraphs of facts against multiple defendants, his Complaint involves a single defendant and a clear chronological narrative of specific events, thus providing adequate notice (p. 6-7).</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27" w:name="federalrules24"/>
        <w:bookmarkEnd w:id="27" w:name="federalrules24"/>
      </w:r>
      <w:r>
        <w:t>Federal Rules of Civil Procedure § 12</w:t>
      </w:r>
    </w:p>
    <w:p>
      <w:pPr>
        <w:spacing w:before="240" w:after="240"/>
      </w:pPr>
      <w:r>
        <w:rPr>
          <w:b/>
          <w:i/>
          <w:color w:val="3A0517"/>
        </w:rPr>
        <w:t>Use of Citation</w:t>
      </w:r>
      <w:r>
        <w:t xml:space="preserve"> ⚪</w:t>
      </w:r>
    </w:p>
    <w:p>
      <w:pPr>
        <w:spacing w:before="0" w:after="0"/>
      </w:pPr>
      <w:r>
        <w:t>The document cites Federal Rule of Civil Procedure 12, specifically Rule 12(e), to oppose the Defendant County of Fresno's motion for a more definite statement (p. 1). Rule 12(e) provides the legal standard allowing a party to move for a more definite statement when a pleading is "so vague or ambiguous that the party cannot reasonably prepare a response" (p. 4). Plaintiff argues that the County's motion misapplies this rule, as the complaint provides a clear narrative of medical neglect and retaliation that allows for a reasonable response (p. 2, 7). Plaintiff interprets Rule 12(e) as a "disfavored" and "narrowly" construed tool intended only for "unintelligible" pleadings, not for obtaining evidentiary details or challenging the legal sufficiency of claims (p. 4, 9). This interpretation is supported by analogical reasoning involving Rule 8(a)(2), which requires only a "short and plain statement" (p. 7), and Rule 81(c)(2), which presumes that a state-court pleading is sufficient upon removal to federal court (p. 4-5). Plaintiff further relies on case law, such as Beery v. Hitachi Home Elecs. (Am.), Inc. and Griffin v. Cnty. of Humboldt, to argue that Rule 12(e) should be denied when a complaint fairly apprises the defendant of the claims and that discovery is the proper vehicle for obtaining further detail (p. 4, 9).</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r>
        <w:br w:type="page"/>
      </w:r>
    </w:p>
    <w:p>
      <w:pPr>
        <w:spacing w:before="0" w:after="0"/>
      </w:pPr>
      <w:r/>
      <w:hyperlink w:anchor="unavailable">
        <w:r>
          <w:rPr/>
          <w:t xml:space="preserve">↑ Triage</w:t>
        </w:r>
      </w:hyperlink>
    </w:p>
    <w:p>
      <w:pPr>
        <w:pStyle w:val="Heading3"/>
      </w:pPr>
      <w:r>
        <w:bookmarkStart w:id="28" w:name="federalrules25"/>
        <w:bookmarkEnd w:id="28" w:name="federalrules25"/>
      </w:r>
      <w:r>
        <w:t>Federal Rules of Civil Procedure § 81</w:t>
      </w:r>
    </w:p>
    <w:p>
      <w:pPr>
        <w:spacing w:before="240" w:after="240"/>
      </w:pPr>
      <w:r>
        <w:rPr>
          <w:b/>
          <w:i/>
          <w:color w:val="3A0517"/>
        </w:rPr>
        <w:t>Use of Citation</w:t>
      </w:r>
      <w:r>
        <w:t xml:space="preserve"> ⚪</w:t>
      </w:r>
    </w:p>
    <w:p>
      <w:pPr>
        <w:spacing w:before="0" w:after="0"/>
      </w:pPr>
      <w:r>
        <w:t>Plaintiff cites FED Federal Rules of Civil Procedure 81, specifically Rule 81(c)(2), to support the legal rule that after removal, repleading is not required unless the court so orders (p. 1-2, 4-5). The context of this citation is the Defendant's motion for a more definite statement; Plaintiff argues that because the County of Fresno elected to remove the case from Fresno County Superior Court to federal court, it must generally accept the complaint as it was originally drafted under California's pleading standards (p. 1-2, 5). Plaintiff interprets Rule 81(c)(2) as establishing a presumption that the existing pleading is sufficient for purposes of proceeding in federal court, placing the burden on the removing party to overcome that presumption (p. 5-6). To support this interpretation, Plaintiff relies on the Advisory Committee Notes to the 2007 amendments to Rule 81, which state that removing parties need not file new pleadings (p. 2, 5), and cites Barajas v. Progressive Casualty Insurance Co., which held that a state-court pleading remains sufficient in federal court unless the court directs otherwise (p. 5). Plaintiff employs analogical reasoning to argue that the County cannot have it both ways by removing the case and then immediately complaining that the complaint was not originally drafted for federal court (p. 2, 5).</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r>
        <w:br w:type="page"/>
      </w:r>
    </w:p>
    <w:p>
      <w:pPr>
        <w:spacing w:before="0" w:after="0"/>
      </w:pPr>
      <w:r/>
      <w:hyperlink w:anchor="unavailable">
        <w:r>
          <w:rPr/>
          <w:t xml:space="preserve">↑ Triage</w:t>
        </w:r>
      </w:hyperlink>
    </w:p>
    <w:p>
      <w:pPr>
        <w:pStyle w:val="Heading3"/>
      </w:pPr>
      <w:r>
        <w:bookmarkStart w:id="29" w:name="federalrules26"/>
        <w:bookmarkEnd w:id="29" w:name="federalrules26"/>
      </w:r>
      <w:r>
        <w:t>Federal Rules of Civil Procedure § 8</w:t>
      </w:r>
    </w:p>
    <w:p>
      <w:pPr>
        <w:spacing w:before="240" w:after="240"/>
      </w:pPr>
      <w:r>
        <w:rPr>
          <w:b/>
          <w:i/>
          <w:color w:val="3A0517"/>
        </w:rPr>
        <w:t>Use of Citation</w:t>
      </w:r>
      <w:r>
        <w:t xml:space="preserve"> ⚪</w:t>
      </w:r>
    </w:p>
    <w:p>
      <w:pPr>
        <w:spacing w:before="0" w:after="0"/>
      </w:pPr>
      <w:r>
        <w:t>Plaintiff Elio Gamez cites Federal Rule of Civil Procedure 8 to support the proposition that federal courts operate under liberal pleading standards (p. 4). Specifically, Rule 8(a)(2) is cited for the rule that a complaint requires only a short and plain statement of the claim showing that the pleader is entitled to relief (p. 7). Additionally, Plaintiff notes that Rule 8 expressly permits alternative pleading (p. 10). The context of these citations is Plaintiff's opposition to the County's Motion for a More Definite Statement under Rule 12(e). Plaintiff argues that because Rule 8 sets a low bar for notice, Rule 12(e) motions are disfavored and should be reserved for unintelligible pleadings rather than those merely lacking detail (p. 4). Plaintiff employs analogical reasoning by distinguishing his complaint from shotgun pleadings found in cases like Gibson v. City of Portland and Destfino v. Reiswig, arguing that his complaint provides a clear, chronological narrative that allows the County to admit, deny, or explain the allegations (p. 6-7). He further contrasts his specific factual allegations with the threadbare recitals condemned in Iqbal, asserting that he has provided the who, what, when, where, and why required to satisfy Rule 8 (p. 7). The statutory rules of Rule 8 are interpreted as requiring notice pleading rather than evidentiary details (p. 4). Plaintiff argues that the County's ability to dissect the legal theories in its own motion proves that the complaint has met the Rule 8 standard of being sufficiently clear to permit a response (p. 7-8).</w:t>
      </w:r>
    </w:p>
    <w:p>
      <w:pPr>
        <w:spacing w:before="240" w:after="240"/>
      </w:pPr>
      <w:r>
        <w:rPr>
          <w:b/>
          <w:i/>
          <w:color w:val="3A0517"/>
        </w:rPr>
        <w:t>Accuracy Review</w:t>
      </w:r>
    </w:p>
    <w:p>
      <w:pPr>
        <w:spacing w:before="0" w:after="0"/>
      </w:pPr>
      <w:r>
        <w:t>Accuracy Review is not available for this rating level. The citation is likely not in error or a hallucination.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Times New Roman" w:eastAsiaTheme="majorEastAsia" w:hAnsiTheme="majorHAnsi" w:cstheme="majorBidi" w:ascii="Times New Roman" w:hAnsi="Times New Roman"/>
      <w:b/>
      <w:bCs/>
      <w:color w:val="3A0517"/>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Times New Roman" w:eastAsiaTheme="majorEastAsia" w:hAnsiTheme="majorHAnsi" w:cstheme="majorBidi" w:ascii="Times New Roman" w:hAnsi="Times New Roman"/>
      <w:b/>
      <w:bCs/>
      <w:color w:val="3A0517"/>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Times New Roman" w:eastAsiaTheme="majorEastAsia" w:hAnsiTheme="majorHAnsi" w:cstheme="majorBidi" w:ascii="Times New Roman" w:hAnsi="Times New Roman"/>
      <w:b/>
      <w:bCs/>
      <w:color w:val="3A0517"/>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Times New Roman" w:eastAsiaTheme="majorEastAsia" w:hAnsiTheme="majorHAnsi" w:cstheme="majorBidi" w:ascii="Times New Roman" w:hAnsi="Times New Roman"/>
      <w:b/>
      <w:bCs/>
      <w:i/>
      <w:iCs/>
      <w:color w:val="3A0517"/>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Times New Roman" w:eastAsiaTheme="majorEastAsia" w:hAnsiTheme="majorHAnsi" w:cstheme="majorBidi" w:ascii="Times New Roman" w:hAnsi="Times New Roman"/>
      <w:color w:val="3A0517"/>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Times New Roman" w:eastAsiaTheme="majorEastAsia" w:hAnsiTheme="majorHAnsi" w:cstheme="majorBidi" w:ascii="Times New Roman" w:hAnsi="Times New Roman"/>
      <w:i/>
      <w:iCs/>
      <w:color w:val="3A0517"/>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ind w:left="720" w:right="720"/>
      <w:jc w:val="both"/>
    </w:pPr>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OpineTitle">
    <w:name w:val="Opine Title"/>
    <w:pPr>
      <w:spacing w:before="0"/>
    </w:pPr>
    <w:rPr>
      <w:rFonts w:ascii="Times New Roman" w:hAnsi="Times New Roman"/>
      <w:color w:val="3A0517"/>
      <w:sz w:val="32"/>
    </w:rPr>
  </w:style>
  <w:style w:type="paragraph" w:customStyle="1" w:styleId="OpineSubtitle">
    <w:name w:val="Opine Subtitle"/>
    <w:pPr>
      <w:spacing w:after="0" w:before="160"/>
    </w:pPr>
    <w:rPr>
      <w:rFonts w:ascii="Times New Roman" w:hAnsi="Times New Roman"/>
      <w:i/>
      <w:color w:val="3A0517"/>
      <w:sz w:val="32"/>
    </w:rPr>
  </w:style>
  <w:style w:type="paragraph" w:customStyle="1" w:styleId="TriageReport">
    <w:name w:val="Triage Report"/>
    <w:pPr>
      <w:spacing w:after="0" w:before="0"/>
      <w:jc w:val="center"/>
    </w:pPr>
    <w:rPr>
      <w:rFonts w:ascii="Times New Roman" w:hAnsi="Times New Roman"/>
      <w:color w:val="3A0517"/>
      <w:sz w:val="32"/>
    </w:rPr>
  </w:style>
  <w:style w:type="paragraph" w:customStyle="1" w:styleId="SmallCapsHeading">
    <w:name w:val="SmallCaps Heading"/>
    <w:rPr>
      <w:rFonts w:ascii="Times New Roman" w:hAnsi="Times New Roman"/>
      <w:b/>
      <w:smallCaps/>
      <w:color w:val="3A0517"/>
      <w:sz w:val="32"/>
    </w:rPr>
  </w:style>
  <w:style w:type="character" w:customStyle="1" w:styleId="Hyperlink">
    <w:name w:val="Hyperlink"/>
    <w:rPr>
      <w:color w:val="44444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pp.opin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