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4320"/>
        <w:gridCol w:w="4320"/>
      </w:tblGrid>
      <w:tr>
        <w:tc>
          <w:tcPr>
            <w:tcW w:type="dxa" w:w="4320"/>
          </w:tcPr>
          <w:p/>
          <w:p>
            <w:r>
              <w:drawing>
                <wp:inline xmlns:a="http://schemas.openxmlformats.org/drawingml/2006/main" xmlns:pic="http://schemas.openxmlformats.org/drawingml/2006/picture">
                  <wp:extent cx="914400" cy="1114828"/>
                  <wp:docPr id="1" name="Picture 1"/>
                  <wp:cNvGraphicFramePr>
                    <a:graphicFrameLocks noChangeAspect="1"/>
                  </wp:cNvGraphicFramePr>
                  <a:graphic>
                    <a:graphicData uri="http://schemas.openxmlformats.org/drawingml/2006/picture">
                      <pic:pic>
                        <pic:nvPicPr>
                          <pic:cNvPr id="0" name="logoLarge.png"/>
                          <pic:cNvPicPr/>
                        </pic:nvPicPr>
                        <pic:blipFill>
                          <a:blip r:embed="rId9"/>
                          <a:stretch>
                            <a:fillRect/>
                          </a:stretch>
                        </pic:blipFill>
                        <pic:spPr>
                          <a:xfrm>
                            <a:off x="0" y="0"/>
                            <a:ext cx="914400" cy="1114828"/>
                          </a:xfrm>
                          <a:prstGeom prst="rect"/>
                        </pic:spPr>
                      </pic:pic>
                    </a:graphicData>
                  </a:graphic>
                </wp:inline>
              </w:drawing>
            </w:r>
          </w:p>
          <w:p>
            <w:pPr>
              <w:pStyle w:val="SmallCapsHeading"/>
            </w:pPr>
            <w:hyperlink r:id="rId10">
              <w:r>
                <w:rPr>
                  <w:color w:val="3a0517"/>
                </w:rPr>
                <w:t>Opine Law</w:t>
              </w:r>
            </w:hyperlink>
          </w:p>
        </w:tc>
        <w:tc>
          <w:tcPr>
            <w:tcW w:type="dxa" w:w="4320"/>
          </w:tcPr>
          <w:p/>
          <w:p>
            <w:r>
              <w:t>Case: 2:25-cv-02540-JLS-JPR - Estate of Khallid Muhammad v. Defendants</w:t>
            </w:r>
          </w:p>
        </w:tc>
      </w:tr>
    </w:tbl>
    <w:p>
      <w:pPr>
        <w:pStyle w:val="OpineSubtitle"/>
      </w:pPr>
      <w:r>
        <w:t>Citation Report</w:t>
      </w:r>
    </w:p>
    <w:p>
      <w:pPr>
        <w:pStyle w:val="OpineTitle"/>
      </w:pPr>
      <w:r>
        <w:t>Plaintiff's Opposition to Khalfani Rushiddin's Motion to Intervene</w:t>
      </w:r>
    </w:p>
    <w:p>
      <w:pPr>
        <w:pStyle w:val="Heading1"/>
      </w:pPr>
      <w:r>
        <w:bookmarkStart w:id="0" w:name="legend"/>
        <w:bookmarkEnd w:id="0" w:name="legend"/>
      </w:r>
      <w:r>
        <w:t>Legend</w:t>
      </w:r>
    </w:p>
    <w:p>
      <w:pPr>
        <w:spacing w:before="0" w:after="0"/>
      </w:pPr>
      <w:r>
        <w:t>🟢</w:t>
        <w:tab/>
        <w:t>Accurate application</w:t>
      </w:r>
    </w:p>
    <w:p>
      <w:pPr>
        <w:spacing w:before="0" w:after="0"/>
      </w:pPr>
      <w:r>
        <w:t>🟡</w:t>
        <w:tab/>
        <w:t>Minor issues or incomplete application</w:t>
      </w:r>
    </w:p>
    <w:p>
      <w:pPr>
        <w:spacing w:before="0" w:after="0"/>
      </w:pPr>
      <w:r>
        <w:t>🔴</w:t>
        <w:tab/>
        <w:t>Significant problems or overextension</w:t>
      </w:r>
    </w:p>
    <w:p>
      <w:pPr>
        <w:spacing w:before="0" w:after="0"/>
      </w:pPr>
      <w:r>
        <w:t>☠️</w:t>
        <w:tab/>
        <w:t>Serious misrepresentation, fabrication, error, or hallucination</w:t>
      </w:r>
    </w:p>
    <w:p>
      <w:pPr>
        <w:spacing w:before="0" w:after="0"/>
      </w:pPr>
      <w:r>
        <w:t>⚪</w:t>
        <w:tab/>
        <w:t>Opine Deep Research not available (error and hallucination check only)</w:t>
      </w:r>
    </w:p>
    <w:p/>
    <w:tbl>
      <w:tblPr>
        <w:tblW w:type="auto" w:w="0"/>
        <w:tblLook w:firstColumn="1" w:firstRow="1" w:lastColumn="0" w:lastRow="0" w:noHBand="0" w:noVBand="1" w:val="04A0"/>
      </w:tblPr>
      <w:tblGrid>
        <w:gridCol w:w="0"/>
        <w:gridCol w:w="0"/>
        <w:gridCol w:w="0"/>
        <w:gridCol w:w="0"/>
        <w:gridCol w:w="0"/>
        <w:gridCol w:w="0"/>
      </w:tblGrid>
      <w:tr>
        <w:trPr>
          <w:tblHeader/>
        </w:trPr>
        <w:tc>
          <w:tcPr>
            <w:tcW w:type="dxa" w:w="1800"/>
          </w:tcP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c>
          <w:tcPr>
            <w:tcW w:type="dxa" w:w="1800"/>
          </w:tcPr>
          <w:p>
            <w:pPr>
              <w:spacing w:before="0" w:after="0" w:line="360" w:lineRule="auto"/>
              <w:jc w:val="center"/>
            </w:pPr>
            <w:r>
              <w:t>⚪</w:t>
            </w:r>
          </w:p>
        </w:tc>
      </w:tr>
      <w:tr>
        <w:tc>
          <w:tcPr>
            <w:tcW w:type="dxa" w:w="1800"/>
          </w:tcPr>
          <w:p>
            <w:pPr>
              <w:spacing w:before="0" w:after="0" w:line="360" w:lineRule="auto"/>
              <w:jc w:val="left"/>
            </w:pPr>
            <w:r>
              <w:rPr>
                <w:b/>
              </w:rPr>
              <w:t>18 Citations</w:t>
            </w:r>
          </w:p>
        </w:tc>
        <w:tc>
          <w:tcPr>
            <w:tcW w:type="dxa" w:w="1800"/>
          </w:tcPr>
          <w:p>
            <w:pPr>
              <w:spacing w:before="0" w:after="0" w:line="360" w:lineRule="auto"/>
              <w:jc w:val="center"/>
            </w:pPr>
            <w:r>
              <w:t>3</w:t>
            </w:r>
          </w:p>
        </w:tc>
        <w:tc>
          <w:tcPr>
            <w:tcW w:type="dxa" w:w="1800"/>
          </w:tcPr>
          <w:p>
            <w:pPr>
              <w:spacing w:before="0" w:after="0" w:line="360" w:lineRule="auto"/>
              <w:jc w:val="center"/>
            </w:pPr>
            <w:r>
              <w:t>7</w:t>
            </w:r>
          </w:p>
        </w:tc>
        <w:tc>
          <w:tcPr>
            <w:tcW w:type="dxa" w:w="1800"/>
          </w:tcPr>
          <w:p>
            <w:pPr>
              <w:spacing w:before="0" w:after="0" w:line="360" w:lineRule="auto"/>
              <w:jc w:val="center"/>
            </w:pPr>
            <w:r>
              <w:t>2</w:t>
            </w:r>
          </w:p>
        </w:tc>
        <w:tc>
          <w:tcPr>
            <w:tcW w:type="dxa" w:w="1800"/>
          </w:tcPr>
          <w:p>
            <w:pPr>
              <w:spacing w:before="0" w:after="0" w:line="360" w:lineRule="auto"/>
              <w:jc w:val="center"/>
            </w:pPr>
            <w:r>
              <w:t>3</w:t>
            </w:r>
          </w:p>
        </w:tc>
        <w:tc>
          <w:tcPr>
            <w:tcW w:type="dxa" w:w="1800"/>
          </w:tcPr>
          <w:p>
            <w:pPr>
              <w:spacing w:before="0" w:after="0" w:line="360" w:lineRule="auto"/>
              <w:jc w:val="center"/>
            </w:pPr>
            <w:r>
              <w:t>3</w:t>
            </w:r>
          </w:p>
        </w:tc>
      </w:tr>
      <w:tr>
        <w:tc>
          <w:tcPr>
            <w:tcW w:type="dxa" w:w="1800"/>
          </w:tcPr>
          <w:p>
            <w:pPr>
              <w:spacing w:before="0" w:after="0" w:line="360" w:lineRule="auto"/>
              <w:jc w:val="right"/>
            </w:pPr>
            <w:r>
              <w:t>18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t>No Statutes were found</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rPr>
                <w:b/>
              </w:rPr>
              <w:t>2 Quotes</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0</w:t>
            </w:r>
          </w:p>
        </w:tc>
        <w:tc>
          <w:tcPr>
            <w:tcW w:type="dxa" w:w="1800"/>
          </w:tcPr>
          <w:p>
            <w:pPr>
              <w:spacing w:before="0" w:after="0" w:line="360" w:lineRule="auto"/>
              <w:jc w:val="center"/>
            </w:pPr>
            <w:r>
              <w:t>2</w:t>
            </w:r>
          </w:p>
        </w:tc>
        <w:tc>
          <w:tcPr>
            <w:tcW w:type="dxa" w:w="1800"/>
          </w:tcPr>
          <w:p>
            <w:pPr>
              <w:spacing w:before="0" w:after="0" w:line="360" w:lineRule="auto"/>
              <w:jc w:val="center"/>
            </w:pPr>
            <w:r>
              <w:t>0</w:t>
            </w:r>
          </w:p>
        </w:tc>
      </w:tr>
      <w:tr>
        <w:tc>
          <w:tcPr>
            <w:tcW w:type="dxa" w:w="1800"/>
          </w:tcPr>
          <w:p>
            <w:pPr>
              <w:spacing w:before="0" w:after="0" w:line="360" w:lineRule="auto"/>
              <w:jc w:val="right"/>
            </w:pPr>
            <w:r>
              <w:t>2 Cases</w:t>
            </w:r>
          </w:p>
        </w:tc>
        <w:tc>
          <w:tcPr>
            <w:tcW w:type="dxa" w:w="1800"/>
          </w:tcPr>
          <w:p/>
        </w:tc>
        <w:tc>
          <w:tcPr>
            <w:tcW w:type="dxa" w:w="1800"/>
          </w:tcPr>
          <w:p/>
        </w:tc>
        <w:tc>
          <w:tcPr>
            <w:tcW w:type="dxa" w:w="1800"/>
          </w:tcPr>
          <w:p/>
        </w:tc>
        <w:tc>
          <w:tcPr>
            <w:tcW w:type="dxa" w:w="1800"/>
          </w:tcPr>
          <w:p/>
        </w:tc>
        <w:tc>
          <w:tcPr>
            <w:tcW w:type="dxa" w:w="1800"/>
          </w:tcPr>
          <w:p/>
        </w:tc>
      </w:tr>
      <w:tr>
        <w:tc>
          <w:tcPr>
            <w:tcW w:type="dxa" w:w="1800"/>
          </w:tcPr>
          <w:p>
            <w:pPr>
              <w:spacing w:before="0" w:after="0" w:line="360" w:lineRule="auto"/>
              <w:jc w:val="left"/>
            </w:pPr>
            <w:r>
              <w:t>No Statutes were found</w:t>
            </w:r>
          </w:p>
        </w:tc>
        <w:tc>
          <w:tcPr>
            <w:tcW w:type="dxa" w:w="1800"/>
          </w:tcPr>
          <w:p/>
        </w:tc>
        <w:tc>
          <w:tcPr>
            <w:tcW w:type="dxa" w:w="1800"/>
          </w:tcPr>
          <w:p/>
        </w:tc>
        <w:tc>
          <w:tcPr>
            <w:tcW w:type="dxa" w:w="1800"/>
          </w:tcPr>
          <w:p/>
        </w:tc>
        <w:tc>
          <w:tcPr>
            <w:tcW w:type="dxa" w:w="1800"/>
          </w:tcPr>
          <w:p/>
        </w:tc>
        <w:tc>
          <w:tcPr>
            <w:tcW w:type="dxa" w:w="1800"/>
          </w:tcPr>
          <w:p/>
        </w:tc>
      </w:tr>
    </w:tbl>
    <w:p>
      <w:r>
        <w:br w:type="page"/>
      </w:r>
    </w:p>
    <w:p>
      <w:pPr>
        <w:pStyle w:val="TriageReport"/>
      </w:pPr>
      <w:r>
        <w:t>Triage Report</w:t>
      </w:r>
    </w:p>
    <w:p>
      <w:pPr>
        <w:pStyle w:val="Heading2"/>
      </w:pPr>
      <w:r>
        <w:bookmarkStart w:id="2" w:name="seriousissues"/>
        <w:bookmarkEnd w:id="2" w:name="seriousissues"/>
      </w:r>
      <w:r>
        <w:t>Serious Issues</w:t>
      </w:r>
    </w:p>
    <w:p>
      <w:pPr>
        <w:pStyle w:val="Heading4"/>
      </w:pPr>
      <w:r>
        <w:t>Cases</w:t>
      </w:r>
    </w:p>
    <w:p>
      <w:pPr>
        <w:spacing w:before="0" w:after="0"/>
      </w:pPr>
      <w:r>
        <w:t xml:space="preserve">☠️ </w:t>
      </w:r>
      <w:hyperlink w:anchor="hilsleyvocea9">
        <w:r>
          <w:rPr/>
          <w:t xml:space="preserve">Hilsley v. Ocean Spray Cranberries, Inc. 2020 WL 3316983</w:t>
        </w:r>
      </w:hyperlink>
    </w:p>
    <w:p>
      <w:pPr>
        <w:spacing w:before="0" w:after="0"/>
      </w:pPr>
      <w:r>
        <w:t xml:space="preserve">☠️ </w:t>
      </w:r>
      <w:hyperlink w:anchor="amundsonvcat10">
        <w:r>
          <w:rPr/>
          <w:t xml:space="preserve">Amundson v. Catello 102 Cal. App. 5th 1020</w:t>
        </w:r>
      </w:hyperlink>
    </w:p>
    <w:p>
      <w:pPr>
        <w:spacing w:before="0" w:after="0"/>
      </w:pPr>
      <w:r>
        <w:t xml:space="preserve">☠️ </w:t>
      </w:r>
      <w:hyperlink w:anchor="gonzalezvnat11">
        <w:r>
          <w:rPr/>
          <w:t xml:space="preserve">Gonzalez v. Nationstar Mortg. LLC 2020 WL 7029510</w:t>
        </w:r>
      </w:hyperlink>
    </w:p>
    <w:p>
      <w:pPr>
        <w:pStyle w:val="Heading2"/>
      </w:pPr>
      <w:r>
        <w:bookmarkStart w:id="4" w:name="significantissues"/>
        <w:bookmarkEnd w:id="4" w:name="significantissues"/>
      </w:r>
      <w:r>
        <w:t>Significant Issues</w:t>
      </w:r>
    </w:p>
    <w:p>
      <w:pPr>
        <w:pStyle w:val="Heading4"/>
      </w:pPr>
      <w:r>
        <w:t>Cases</w:t>
      </w:r>
    </w:p>
    <w:p>
      <w:pPr>
        <w:spacing w:before="0" w:after="0"/>
      </w:pPr>
      <w:r>
        <w:t xml:space="preserve">🔴 </w:t>
      </w:r>
      <w:hyperlink w:anchor="donnellyvgli12">
        <w:r>
          <w:rPr/>
          <w:t xml:space="preserve">Donnelly v. Glickman 159 F.3d 405</w:t>
        </w:r>
      </w:hyperlink>
    </w:p>
    <w:p>
      <w:pPr>
        <w:spacing w:before="0" w:after="0"/>
      </w:pPr>
      <w:r>
        <w:t xml:space="preserve">        </w:t>
      </w:r>
      <w:hyperlink w:anchor="donnellyvgli13">
        <w:r>
          <w:rPr/>
          <w:t xml:space="preserve">☠️ 1 Quote</w:t>
        </w:r>
      </w:hyperlink>
    </w:p>
    <w:p>
      <w:pPr>
        <w:spacing w:before="0" w:after="0"/>
      </w:pPr>
      <w:r>
        <w:t xml:space="preserve">🔴 </w:t>
      </w:r>
      <w:hyperlink w:anchor="forestconser14">
        <w:r>
          <w:rPr/>
          <w:t xml:space="preserve">Forest Conservation Council v. U.S. Forest Serv. 66 F.3d 1489</w:t>
        </w:r>
      </w:hyperlink>
    </w:p>
    <w:p>
      <w:pPr>
        <w:spacing w:before="0" w:after="0"/>
      </w:pPr>
      <w:r>
        <w:t xml:space="preserve">        </w:t>
      </w:r>
      <w:hyperlink w:anchor="forestconser15">
        <w:r>
          <w:rPr/>
          <w:t xml:space="preserve">☠️ 1 Quote</w:t>
        </w:r>
      </w:hyperlink>
    </w:p>
    <w:p>
      <w:pPr>
        <w:pStyle w:val="Heading2"/>
      </w:pPr>
      <w:r>
        <w:bookmarkStart w:id="6" w:name="minorissues"/>
        <w:bookmarkEnd w:id="6" w:name="minorissues"/>
      </w:r>
      <w:r>
        <w:t>Minor Issues</w:t>
      </w:r>
    </w:p>
    <w:p>
      <w:pPr>
        <w:pStyle w:val="Heading4"/>
      </w:pPr>
      <w:r>
        <w:t>Cases</w:t>
      </w:r>
    </w:p>
    <w:p>
      <w:pPr>
        <w:spacing w:before="0" w:after="0"/>
      </w:pPr>
      <w:r>
        <w:t xml:space="preserve">🟡 </w:t>
      </w:r>
      <w:hyperlink w:anchor="citizensforb16">
        <w:r>
          <w:rPr/>
          <w:t xml:space="preserve">Citizens for Balanced Use v. Mont. Wilderness Ass’n 647 F.3d 893</w:t>
        </w:r>
      </w:hyperlink>
    </w:p>
    <w:p>
      <w:pPr>
        <w:spacing w:before="0" w:after="0"/>
      </w:pPr>
      <w:r>
        <w:t xml:space="preserve">🟡 </w:t>
      </w:r>
      <w:hyperlink w:anchor="smithvlaunif17">
        <w:r>
          <w:rPr/>
          <w:t xml:space="preserve">Smith v. L.A. Unified Sch. Dist. 830 F.3d 843</w:t>
        </w:r>
      </w:hyperlink>
    </w:p>
    <w:p>
      <w:pPr>
        <w:spacing w:before="0" w:after="0"/>
      </w:pPr>
      <w:r>
        <w:t xml:space="preserve">🟡 </w:t>
      </w:r>
      <w:hyperlink w:anchor="allenvbedoll18">
        <w:r>
          <w:rPr/>
          <w:t xml:space="preserve">Allen v. Bedolla 787 F.3d 1218</w:t>
        </w:r>
      </w:hyperlink>
    </w:p>
    <w:p>
      <w:pPr>
        <w:spacing w:before="0" w:after="0"/>
      </w:pPr>
      <w:r>
        <w:t xml:space="preserve">🟡 </w:t>
      </w:r>
      <w:hyperlink w:anchor="californiaex19">
        <w:r>
          <w:rPr/>
          <w:t xml:space="preserve">California ex rel. Lockyer v. United States 450 F.3d 436</w:t>
        </w:r>
      </w:hyperlink>
    </w:p>
    <w:p>
      <w:pPr>
        <w:spacing w:before="0" w:after="0"/>
      </w:pPr>
      <w:r>
        <w:t xml:space="preserve">🟡 </w:t>
      </w:r>
      <w:hyperlink w:anchor="scottvthomps20">
        <w:r>
          <w:rPr/>
          <w:t xml:space="preserve">Scott v. Thompson 184 Cal. App. 4th 1506</w:t>
        </w:r>
      </w:hyperlink>
    </w:p>
    <w:p>
      <w:pPr>
        <w:spacing w:before="0" w:after="0"/>
      </w:pPr>
      <w:r>
        <w:t xml:space="preserve">🟡 </w:t>
      </w:r>
      <w:hyperlink w:anchor="unitedstates21">
        <w:r>
          <w:rPr/>
          <w:t xml:space="preserve">United States v. Alisal Water Corp. 370 F.3d 915</w:t>
        </w:r>
      </w:hyperlink>
    </w:p>
    <w:p>
      <w:pPr>
        <w:spacing w:before="0" w:after="0"/>
      </w:pPr>
      <w:r>
        <w:t xml:space="preserve">🟡 </w:t>
      </w:r>
      <w:hyperlink w:anchor="arakakivcaye22">
        <w:r>
          <w:rPr/>
          <w:t xml:space="preserve">Arakaki v. Cayetano 324 F.3d 1078</w:t>
        </w:r>
      </w:hyperlink>
    </w:p>
    <w:p>
      <w:pPr>
        <w:pStyle w:val="Heading2"/>
      </w:pPr>
      <w:r>
        <w:bookmarkStart w:id="8" w:name="accurate"/>
        <w:bookmarkEnd w:id="8" w:name="accurate"/>
      </w:r>
      <w:r>
        <w:t>Accurate</w:t>
      </w:r>
    </w:p>
    <w:p>
      <w:pPr>
        <w:pStyle w:val="Heading4"/>
      </w:pPr>
      <w:r>
        <w:t>Cases</w:t>
      </w:r>
    </w:p>
    <w:p>
      <w:pPr>
        <w:spacing w:before="0" w:after="0"/>
      </w:pPr>
      <w:r>
        <w:t xml:space="preserve">🟢 </w:t>
      </w:r>
      <w:hyperlink w:anchor="pretevbradbu23">
        <w:r>
          <w:rPr/>
          <w:t xml:space="preserve">Prete v. Bradbury 438 F.3d 949</w:t>
        </w:r>
      </w:hyperlink>
    </w:p>
    <w:p>
      <w:pPr>
        <w:spacing w:before="0" w:after="0"/>
      </w:pPr>
      <w:r>
        <w:t xml:space="preserve">🟢 </w:t>
      </w:r>
      <w:hyperlink w:anchor="scaledisonco24">
        <w:r>
          <w:rPr/>
          <w:t xml:space="preserve">S. Cal. Edison Co. v. Lynch 307 F.3d 794</w:t>
        </w:r>
      </w:hyperlink>
    </w:p>
    <w:p>
      <w:pPr>
        <w:spacing w:before="0" w:after="0"/>
      </w:pPr>
      <w:r>
        <w:t xml:space="preserve">🟢 </w:t>
      </w:r>
      <w:hyperlink w:anchor="perryvpropos25">
        <w:r>
          <w:rPr/>
          <w:t xml:space="preserve">Perry v. Proposition 8 587 F.3d 947</w:t>
        </w:r>
      </w:hyperlink>
    </w:p>
    <w:p>
      <w:pPr>
        <w:pStyle w:val="Heading2"/>
      </w:pPr>
      <w:r>
        <w:bookmarkStart w:id="10" w:name="unavailable"/>
        <w:bookmarkEnd w:id="10" w:name="unavailable"/>
      </w:r>
      <w:r>
        <w:t>Unavailable</w:t>
      </w:r>
    </w:p>
    <w:p>
      <w:pPr>
        <w:pStyle w:val="Heading4"/>
      </w:pPr>
      <w:r>
        <w:t>Cases</w:t>
      </w:r>
    </w:p>
    <w:p>
      <w:pPr>
        <w:spacing w:before="0" w:after="0"/>
      </w:pPr>
      <w:r>
        <w:t xml:space="preserve">⚪ </w:t>
      </w:r>
      <w:hyperlink w:anchor="washingtonst26">
        <w:r>
          <w:rPr/>
          <w:t xml:space="preserve">Washington State Bldg. &amp; Constr. Trades Council v. Spellman 684 F.2d 627</w:t>
        </w:r>
      </w:hyperlink>
    </w:p>
    <w:p>
      <w:pPr>
        <w:spacing w:before="0" w:after="0"/>
      </w:pPr>
      <w:r>
        <w:t xml:space="preserve">⚪ </w:t>
      </w:r>
      <w:hyperlink w:anchor="moorevverizo27">
        <w:r>
          <w:rPr/>
          <w:t xml:space="preserve">Moore v. Verizon Commc’ns Inc. 2013 WL 3450365</w:t>
        </w:r>
      </w:hyperlink>
    </w:p>
    <w:p>
      <w:pPr>
        <w:spacing w:before="0" w:after="0"/>
      </w:pPr>
      <w:r>
        <w:t xml:space="preserve">⚪ </w:t>
      </w:r>
      <w:hyperlink w:anchor="inreestateof28">
        <w:r>
          <w:rPr/>
          <w:t xml:space="preserve">In re Estate of Prince Rogers Nelson 2018 WL 4859737</w:t>
        </w:r>
      </w:hyperlink>
    </w:p>
    <w:p>
      <w:r>
        <w:br w:type="page"/>
      </w:r>
    </w:p>
    <w:p>
      <w:pPr>
        <w:pStyle w:val="TriageReport"/>
      </w:pPr>
      <w:r>
        <w:t>Citation Reports</w:t>
      </w:r>
    </w:p>
    <w:p>
      <w:pPr>
        <w:spacing w:before="0" w:after="0"/>
      </w:pPr>
      <w:r/>
      <w:hyperlink w:anchor="seriousissues">
        <w:r>
          <w:rPr/>
          <w:t xml:space="preserve">↑ Triage</w:t>
        </w:r>
      </w:hyperlink>
    </w:p>
    <w:p>
      <w:pPr>
        <w:pStyle w:val="Heading3"/>
      </w:pPr>
      <w:r>
        <w:bookmarkStart w:id="13" w:name="hilsleyvocea9"/>
        <w:bookmarkEnd w:id="13" w:name="hilsleyvocea9"/>
      </w:r>
      <w:r>
        <w:t>Hilsley v. Ocean Spray Cranberries, Inc. 2020 WL 3316983</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Plaintiff's Opposition to Khalfani Rushiddin's Motion to Intervene cites Hilsley v. Ocean Spray Cranberries, Inc. to support arguments regarding both intervention as of right and permissive intervention under Federal Rule of Civil Procedure 24. Regarding legal rules, the document cites Hilsley to establish that intervention may be denied if it would complicate and slow the resolution of a case (p. 4) or undermine the efficiency of the litigation (p. 5). In the context of the current matter, the Plaintiff uses Hilsley to argue that Khalfani Rushiddin's motion is untimely and would improperly inject unrelated probate issues into a federal copyright action (p. 4-5). The document interprets Hilsley as providing a basis for courts to prioritize the efficiency and timely resolution of existing litigation over the interests of a proposed intervenor whose presence would cause delay (p. 4). The Plaintiff applies Hilsley analogically, suggesting that just as the court in Hilsley denied intervention to maintain litigation efficiency, this court should deny the Movant's request because his intervention would disrupt the proceedings and expand the scope of the case into probate matters (p. 4-5).</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4" w:name="amundsonvcat10"/>
        <w:bookmarkEnd w:id="14" w:name="amundsonvcat10"/>
      </w:r>
      <w:r>
        <w:t>Amundson v. Catello 102 Cal. App. 5th 1020</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Plaintiff's Opposition cites Amundson v. Catello to support the legal rule that courts "routinely deny intervention where alleged heirs attempt to interfere with an estate’s intellectual property litigation" (p. 3-4). The context of this citation is the Plaintiff's argument regarding the untimeliness of Khalfani Rushiddin's motion and the potential for such intervention to disrupt the proceedings (p. 3). The document interprets the legal reasoning in Amundson v. Catello as a precedent for denying intervention when an heir seeks to involve themselves in a federal copyright action that is being managed by the court-appointed administrator (p. 4). The citation is used as an example of a court denying intervention in a factually similar scenario involving an estate's intellectual property (p. 4).</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eriousissues">
        <w:r>
          <w:rPr/>
          <w:t xml:space="preserve">↑ Triage</w:t>
        </w:r>
      </w:hyperlink>
    </w:p>
    <w:p>
      <w:pPr>
        <w:pStyle w:val="Heading3"/>
      </w:pPr>
      <w:r>
        <w:bookmarkStart w:id="15" w:name="gonzalezvnat11"/>
        <w:bookmarkEnd w:id="15" w:name="gonzalezvnat11"/>
      </w:r>
      <w:r>
        <w:t>Gonzalez v. Nationstar Mortg. LLC 2020 WL 7029510</w:t>
      </w:r>
    </w:p>
    <w:p>
      <w:pPr>
        <w:pStyle w:val="Quote"/>
      </w:pPr>
      <w:r>
        <w:t xml:space="preserve">⚠️ </w:t>
      </w:r>
      <w:r>
        <w:rPr>
          <w:b/>
        </w:rPr>
        <w:t>This citation appears to be fabricated or a hallucination. Further review is recommended.</w:t>
      </w:r>
    </w:p>
    <w:p>
      <w:pPr>
        <w:spacing w:before="240" w:after="240"/>
      </w:pPr>
      <w:r>
        <w:rPr>
          <w:b/>
          <w:i/>
          <w:color w:val="3A0517"/>
        </w:rPr>
        <w:t>Use of Citation</w:t>
      </w:r>
      <w:r>
        <w:t xml:space="preserve"> ☠️</w:t>
      </w:r>
    </w:p>
    <w:p>
      <w:pPr>
        <w:spacing w:before="0" w:after="0"/>
      </w:pPr>
      <w:r>
        <w:t>Plaintiff's Opposition to Khalfani Rushiddin's Motion to Intervene cites Gonzalez v. Nationstar Mortg. LLC to support the legal rule that alleged heirs lack standing to litigate claims belonging to an estate because only the court-appointed estate representative possesses that authority (p. 4). The citation occurs within the context of the Plaintiff's argument that the Movant, Khalfani Rushiddin, lacks a "significantly protectable interest" in the litigation (p. 4). The document interprets Gonzalez as establishing that biological lineage and status as an heir do not grant a party the legal standing necessary to interfere with or control litigation regarding the estate's intellectual property (p. 4). The Plaintiff applies the legal concepts from Gonzalez as an example of a court rejecting the standing of heirs in favor of the estate representative, using it to argue by analogy that the Movant's status as the decedent's son is legally insufficient to justify intervention in this federal copyright action (p. 4).</w:t>
      </w:r>
    </w:p>
    <w:p>
      <w:pPr>
        <w:spacing w:before="240" w:after="240"/>
      </w:pPr>
      <w:r>
        <w:rPr>
          <w:b/>
          <w:i/>
          <w:color w:val="3A0517"/>
        </w:rPr>
        <w:t>Accuracy Review</w:t>
      </w:r>
    </w:p>
    <w:p>
      <w:pPr>
        <w:spacing w:before="0" w:after="0"/>
      </w:pPr>
      <w:r>
        <w:t>Accuracy Review is not available for this rating level.</w:t>
      </w:r>
    </w:p>
    <w:p>
      <w:pPr>
        <w:spacing w:before="0" w:after="0"/>
      </w:pPr>
      <w:r/>
      <w:hyperlink w:anchor="significantissues">
        <w:r>
          <w:rPr/>
          <w:t xml:space="preserve">↑ Triage</w:t>
        </w:r>
      </w:hyperlink>
    </w:p>
    <w:p>
      <w:pPr>
        <w:pStyle w:val="Heading3"/>
      </w:pPr>
      <w:r>
        <w:bookmarkStart w:id="16" w:name="donnellyvgli12"/>
        <w:bookmarkEnd w:id="16" w:name="donnellyvgli12"/>
      </w:r>
      <w:r>
        <w:t>Donnelly v. Glickman 159 F.3d 405</w:t>
      </w:r>
    </w:p>
    <w:p>
      <w:pPr>
        <w:spacing w:before="240" w:after="240"/>
      </w:pPr>
      <w:r>
        <w:rPr>
          <w:b/>
          <w:i/>
          <w:color w:val="3A0517"/>
        </w:rPr>
        <w:t>Use of Citation</w:t>
      </w:r>
      <w:r>
        <w:t xml:space="preserve"> 🔴</w:t>
      </w:r>
    </w:p>
    <w:p>
      <w:pPr>
        <w:spacing w:before="0" w:after="0"/>
      </w:pPr>
      <w:r>
        <w:t>Plaintiff's Opposition to Khalfani Rushiddin's Motion to Intervene cites Donnelly v. Glickman to establish the legal standard for a significantly protectable interest required for intervention under Federal Rule of Civil Procedure 24(a)(2) (p. 4). The document cites the case for the proposition that a protectable interest must be direct, non-contingent, substantial, and legally protectable (p. 4). In the context of this matter, the citation is used to challenge Khalfani Rushiddin's Motion to Intervene by arguing that his status as a biological son and heir does not meet the legal threshold for a protectable interest in the copyrights owned by the Estate (p. 4). The document interprets Donnelly as requiring a direct legal interest, contrasting it with interests that are merely economic, derivative, or collateral (p. 4). The Plaintiff directly applies the legal concepts from Donnelly to argue that because the Movant owns no copyrights and provides no assignments, his interest is insufficient to warrant intervention (p. 4).</w:t>
      </w:r>
    </w:p>
    <w:p>
      <w:pPr>
        <w:spacing w:before="240" w:after="240"/>
      </w:pPr>
      <w:r>
        <w:rPr>
          <w:b/>
          <w:i/>
          <w:color w:val="3A0517"/>
        </w:rPr>
        <w:t>Accuracy Review</w:t>
      </w:r>
    </w:p>
    <w:p>
      <w:pPr>
        <w:spacing w:before="0" w:after="0"/>
      </w:pPr>
      <w:r>
        <w:t>The citation in the document accurately identifies Donnelly as the authority for the "significant protectable interest" requirement but misstates the specific definition used by the court. By using quotation marks for a phrase that does not appear in the text, the document commits a technical misapplication. Substantively, the application of Donnelly to exclude derivative or collateral interests (like those of an heir in a copyright suit) is consistent with the case's outcome, but the reliance on a non-existent literal standard is misleading.</w:t>
      </w:r>
    </w:p>
    <w:p>
      <w:pPr>
        <w:spacing w:before="240" w:after="240"/>
      </w:pPr>
      <w:r>
        <w:rPr>
          <w:b/>
          <w:i/>
          <w:color w:val="3A0517"/>
        </w:rPr>
        <w:t>Use of Quotes</w:t>
      </w:r>
      <w:r>
        <w:bookmarkStart w:id="17" w:name="donnellyvgli13"/>
        <w:bookmarkEnd w:id="17" w:name="donnellyvgli13"/>
      </w:r>
    </w:p>
    <w:p>
      <w:pPr>
        <w:spacing w:before="240" w:after="240"/>
      </w:pPr>
      <w:r>
        <w:t xml:space="preserve">☠️ </w:t>
      </w:r>
      <w:r>
        <w:rPr>
          <w:b/>
          <w:i/>
          <w:color w:val="3A0517"/>
        </w:rPr>
        <w:t>Quote 1 - 159 F.3d 405, 409</w:t>
      </w:r>
    </w:p>
    <w:p>
      <w:pPr>
        <w:pStyle w:val="Quote"/>
      </w:pPr>
      <w:r>
        <w:t>direct, non-contingent, substantial, and legally protectable</w:t>
      </w:r>
    </w:p>
    <w:p>
      <w:pPr>
        <w:spacing w:before="0" w:after="0"/>
      </w:pPr>
      <w:r>
        <w:t>Quote 1 does not exist in the text of Donnelly v. Glickman. While the case discusses the "significant protectable interest" requirement, it defines it using a two-prong test (interest protected under law and a relationship to the claims) rather than the specific four-adjective string quoted. Consequently, the quote is neither accurate nor contextually complete as a representation of the court's language.</w:t>
      </w:r>
    </w:p>
    <w:p>
      <w:pPr>
        <w:spacing w:before="240" w:after="240"/>
      </w:pPr>
      <w:r>
        <w:rPr>
          <w:b/>
          <w:i/>
          <w:color w:val="3A0517"/>
        </w:rPr>
        <w:t>Other Relevant Precedence</w:t>
      </w:r>
    </w:p>
    <w:p>
      <w:pPr>
        <w:spacing w:before="0" w:after="0"/>
      </w:pPr>
      <w:r>
        <w:rPr>
          <w:b/>
        </w:rPr>
        <w:t>1. United States v. Alisal Water Corp., 370 F.3d 915:</w:t>
      </w:r>
      <w:r>
        <w:t xml:space="preserve"> This 9th Circuit case is highly on-point as it elaborates on the </w:t>
      </w:r>
      <w:r>
        <w:rPr>
          <w:i/>
        </w:rPr>
        <w:t>Donnelly</w:t>
      </w:r>
      <w:r>
        <w:t xml:space="preserve"> standard by specifically excluding interests that are merely economic, derivative, or collateral from being "significantly protectable," a principle directly applied in the Plaintiff's opposition.</w:t>
      </w:r>
    </w:p>
    <w:p>
      <w:pPr>
        <w:spacing w:before="0" w:after="0"/>
      </w:pPr>
      <w:r>
        <w:rPr>
          <w:b/>
        </w:rPr>
        <w:t>2. In re Estate of Ferdinand E. Marcos Human Rights Litigation, 536 F.3d 980:</w:t>
      </w:r>
      <w:r>
        <w:t xml:space="preserve"> This 9th Circuit case is factually analogous as it applies the Rule 24(a) intervention standards within the specific context of litigation involving a decedent's estate.</w:t>
      </w:r>
    </w:p>
    <w:p>
      <w:pPr>
        <w:spacing w:before="0" w:after="0"/>
      </w:pPr>
      <w:r>
        <w:rPr>
          <w:b/>
        </w:rPr>
        <w:t>3. California ex rel. Lockyer v. United States, 450 F.3d 436:</w:t>
      </w:r>
      <w:r>
        <w:t xml:space="preserve"> This case provides a refined 9th Circuit analysis of the "relationship" prong of the protectable interest test, which is used to determine if the resolution of the underlying claims will actually affect the proposed intervenor.</w:t>
      </w:r>
    </w:p>
    <w:p>
      <w:pPr>
        <w:spacing w:before="0" w:after="0"/>
      </w:pPr>
      <w:r>
        <w:rPr>
          <w:b/>
        </w:rPr>
        <w:t>4. CA Dept. of Toxic Substances Control v. Jim Dobbas Inc., 54 F.4th 1078:</w:t>
      </w:r>
      <w:r>
        <w:t xml:space="preserve"> As a very recent 9th Circuit decision, it reaffirms the </w:t>
      </w:r>
      <w:r>
        <w:rPr>
          <w:i/>
        </w:rPr>
        <w:t>Donnelly</w:t>
      </w:r>
      <w:r>
        <w:t xml:space="preserve"> requirements for intervention as of right, providing the most current statement of the applicable legal standard.</w:t>
      </w:r>
    </w:p>
    <w:p>
      <w:pPr>
        <w:spacing w:before="0" w:after="0"/>
      </w:pPr>
      <w:r>
        <w:rPr>
          <w:b/>
        </w:rPr>
        <w:t>5. Arakaki v. Cayetano, 324 F.3d 1078:</w:t>
      </w:r>
      <w:r>
        <w:t xml:space="preserve"> This 9th Circuit case provides extensive guidance on the "inadequate representation" requirement of Rule 24(a)(2), which is the secondary basis for the Plaintiff's opposition to the motion to intervene.</w:t>
      </w:r>
    </w:p>
    <w:p>
      <w:r>
        <w:br w:type="page"/>
      </w:r>
    </w:p>
    <w:p>
      <w:pPr>
        <w:spacing w:before="0" w:after="0"/>
      </w:pPr>
      <w:r/>
      <w:hyperlink w:anchor="significantissues">
        <w:r>
          <w:rPr/>
          <w:t xml:space="preserve">↑ Triage</w:t>
        </w:r>
      </w:hyperlink>
    </w:p>
    <w:p>
      <w:pPr>
        <w:pStyle w:val="Heading3"/>
      </w:pPr>
      <w:r>
        <w:bookmarkStart w:id="18" w:name="forestconser14"/>
        <w:bookmarkEnd w:id="18" w:name="forestconser14"/>
      </w:r>
      <w:r>
        <w:t>Forest Conservation Council v. U.S. Forest Serv. 66 F.3d 1489</w:t>
      </w:r>
    </w:p>
    <w:p>
      <w:pPr>
        <w:spacing w:before="240" w:after="240"/>
      </w:pPr>
      <w:r>
        <w:rPr>
          <w:b/>
          <w:i/>
          <w:color w:val="3A0517"/>
        </w:rPr>
        <w:t>Use of Citation</w:t>
      </w:r>
      <w:r>
        <w:t xml:space="preserve"> 🔴</w:t>
      </w:r>
    </w:p>
    <w:p>
      <w:pPr>
        <w:spacing w:before="0" w:after="0"/>
      </w:pPr>
      <w:r>
        <w:t>Plaintiff's Opposition to Khalfani Rushiddin's Motion to Intervene cites Forest Conservation Council v. U.S. Forest Serv. to support the legal rule that adequate representation for the purposes of intervention exists when the existing party and the proposed intervenor share the "same ultimate objective" (p. 5). The citation occurs within the Plaintiff's argument that Khalfani Rushiddin's interests are already adequately represented by the Estate in the federal copyright action (p. 5). The document interprets the legal reasoning from Forest Conservation Council to mean that if the goals of the parties are aligned, the requirement for intervention as of right under Rule 24(a)(2) regarding inadequate representation is not satisfied (p. 5). The Plaintiff directly applies this concept by arguing that because the Movant (an heir) and the Estate share the objective of protecting the decedent's intellectual property, and because the Movant has not demonstrated adversity or collusion, his intervention is unnecessary (p. 5).</w:t>
      </w:r>
    </w:p>
    <w:p>
      <w:pPr>
        <w:spacing w:before="240" w:after="240"/>
      </w:pPr>
      <w:r>
        <w:rPr>
          <w:b/>
          <w:i/>
          <w:color w:val="3A0517"/>
        </w:rPr>
        <w:t>Accuracy Review</w:t>
      </w:r>
    </w:p>
    <w:p>
      <w:pPr>
        <w:spacing w:before="0" w:after="0"/>
      </w:pPr>
      <w:r>
        <w:t>The citation to Forest Conservation Council v. U.S. Forest Serv. in the Plaintiff's Opposition is technically flawed and contextually misleading. First, the specific phrase 'same ultimate objective' is not found within the text of the Forest Conservation Council opinion; that language is typically associated with other Ninth Circuit cases such as Arakaki v. Cayetano, 324 F.3d 1078 (9th Cir. 2003). Second, the Plaintiff uses the case to argue that representation is adequate when objectives are shared, yet the actual holding of Forest Conservation Council found that the government's representation was inadequate because its broad public mandate differed from the intervenors' specific economic and safety concerns. By citing a case that granted intervention due to inadequate representation to support a summary denial of intervention based on adequate representation, the Plaintiff misapplies the case's core reasoning and outcome.</w:t>
      </w:r>
    </w:p>
    <w:p>
      <w:pPr>
        <w:spacing w:before="240" w:after="240"/>
      </w:pPr>
      <w:r>
        <w:rPr>
          <w:b/>
          <w:i/>
          <w:color w:val="3A0517"/>
        </w:rPr>
        <w:t>Use of Quotes</w:t>
      </w:r>
      <w:r>
        <w:bookmarkStart w:id="19" w:name="forestconser15"/>
        <w:bookmarkEnd w:id="19" w:name="forestconser15"/>
      </w:r>
    </w:p>
    <w:p>
      <w:pPr>
        <w:spacing w:before="240" w:after="240"/>
      </w:pPr>
      <w:r>
        <w:t xml:space="preserve">☠️ </w:t>
      </w:r>
      <w:r>
        <w:rPr>
          <w:b/>
          <w:i/>
          <w:color w:val="3A0517"/>
        </w:rPr>
        <w:t>Quote 1 - 1498</w:t>
      </w:r>
    </w:p>
    <w:p>
      <w:pPr>
        <w:pStyle w:val="Quote"/>
      </w:pPr>
      <w:r>
        <w:t>same ultimate objective</w:t>
      </w:r>
    </w:p>
    <w:p>
      <w:pPr>
        <w:spacing w:before="0" w:after="0"/>
      </w:pPr>
      <w:r>
        <w:t>The quote 'same ultimate objective' does not exist in the text of Forest Conservation Council v. U.S. Forest Serv., 66 F.3d 1489. While this is a valid legal standard used in the Ninth Circuit for Rule 24(a)(2) analysis, it is not a quote from this specific case. Consequently, it is neither accurate nor contextually complete as an attribution to this authority.</w:t>
      </w:r>
    </w:p>
    <w:p>
      <w:pPr>
        <w:spacing w:before="240" w:after="240"/>
      </w:pPr>
      <w:r>
        <w:rPr>
          <w:b/>
          <w:i/>
          <w:color w:val="3A0517"/>
        </w:rPr>
        <w:t>Applicable Negative Treatment</w:t>
      </w:r>
    </w:p>
    <w:p>
      <w:pPr>
        <w:spacing w:before="0" w:after="0"/>
      </w:pPr>
      <w:r>
        <w:rPr>
          <w:b/>
        </w:rPr>
        <w:t>1. Wilderness Society v. United States Forest Service, 630 F.3d 1173:</w:t>
      </w:r>
      <w:r>
        <w:t xml:space="preserve"> This en banc decision abrogated the "federal defendant" rule applied in </w:t>
      </w:r>
      <w:r>
        <w:rPr>
          <w:i/>
        </w:rPr>
        <w:t>Forest Conservation Council</w:t>
      </w:r>
      <w:r>
        <w:t>, which had restricted intervention of right in NEPA cases to the remedial phase. The court found the rule mistakenly focused on the underlying legal claim rather than the property or transaction at issue, running counter to standard Rule 24(a)(2) principles.</w:t>
      </w:r>
    </w:p>
    <w:p>
      <w:pPr>
        <w:spacing w:before="0" w:after="0"/>
      </w:pPr>
      <w:r>
        <w:rPr>
          <w:b/>
        </w:rPr>
        <w:t>2. Western Watersheds Project v. Haaland, 22 F.4th 828:</w:t>
      </w:r>
      <w:r>
        <w:t xml:space="preserve"> This case explicitly notes that </w:t>
      </w:r>
      <w:r>
        <w:rPr>
          <w:i/>
        </w:rPr>
        <w:t>Forest Conservation Council</w:t>
      </w:r>
      <w:r>
        <w:t xml:space="preserve"> was abrogated on other grounds by the Ninth Circuit's en banc decision in </w:t>
      </w:r>
      <w:r>
        <w:rPr>
          <w:i/>
        </w:rPr>
        <w:t>Wilderness Society</w:t>
      </w:r>
      <w:r>
        <w:t>.</w:t>
      </w:r>
    </w:p>
    <w:p>
      <w:pPr>
        <w:spacing w:before="0" w:after="0"/>
      </w:pPr>
      <w:r>
        <w:rPr>
          <w:b/>
        </w:rPr>
        <w:t>3. Arakaki v. Cayetano, 324 F.3d 1078:</w:t>
      </w:r>
      <w:r>
        <w:t xml:space="preserve"> This case distinguishes </w:t>
      </w:r>
      <w:r>
        <w:rPr>
          <w:i/>
        </w:rPr>
        <w:t>Forest Conservation Council</w:t>
      </w:r>
      <w:r>
        <w:t xml:space="preserve"> regarding the adequacy of representation prong. It clarifies that intervention was permitted in that case specifically because the government's broad public interest did not adequately represent the intervenors' "narrow, parochial interests," which contrasts with the Plaintiff's use of the case to argue that shared objectives between an estate and an heir constitute adequate representation.</w:t>
      </w:r>
    </w:p>
    <w:p>
      <w:pPr>
        <w:spacing w:before="0" w:after="0"/>
      </w:pPr>
      <w:r>
        <w:rPr>
          <w:b/>
        </w:rPr>
        <w:t>4. Churchill County v. Babbitt, 150 F.3d 1072:</w:t>
      </w:r>
      <w:r>
        <w:t xml:space="preserve"> This Ninth Circuit opinion limits the application of </w:t>
      </w:r>
      <w:r>
        <w:rPr>
          <w:i/>
        </w:rPr>
        <w:t>Forest Conservation Council</w:t>
      </w:r>
      <w:r>
        <w:t>, stating that its exception to the general rule regarding proper defendants in NEPA actions is limited strictly to the remedial phase of a trial.</w:t>
      </w:r>
    </w:p>
    <w:p>
      <w:pPr>
        <w:spacing w:before="0" w:after="0"/>
      </w:pPr>
      <w:r>
        <w:rPr>
          <w:b/>
        </w:rPr>
        <w:t>5. Wetlands Action Network v. United States Army Corps of Engineers, 222 F.3d 1105:</w:t>
      </w:r>
      <w:r>
        <w:t xml:space="preserve"> This case also limits the holding of </w:t>
      </w:r>
      <w:r>
        <w:rPr>
          <w:i/>
        </w:rPr>
        <w:t>Forest Conservation Council</w:t>
      </w:r>
      <w:r>
        <w:t>, noting that any exception it represents to the general rule that only the federal government can be a defendant in a NEPA compliance action is limited to the remedial phase.</w:t>
      </w:r>
    </w:p>
    <w:p>
      <w:pPr>
        <w:spacing w:before="240" w:after="240"/>
      </w:pPr>
      <w:r>
        <w:rPr>
          <w:b/>
          <w:i/>
          <w:color w:val="3A0517"/>
        </w:rPr>
        <w:t>Other Relevant Precedence</w:t>
      </w:r>
    </w:p>
    <w:p>
      <w:pPr>
        <w:spacing w:before="0" w:after="0"/>
      </w:pPr>
      <w:r>
        <w:rPr>
          <w:b/>
        </w:rPr>
        <w:t>1. Arakaki v. Cayetano, 324 F.3d 1078:</w:t>
      </w:r>
      <w:r>
        <w:t xml:space="preserve"> This Ninth Circuit case is highly on-point as it specifically elaborates on the "same ultimate objective" presumption and the three-factor test for determining adequacy of representation under Rule 24(a)(2), which is the primary proposition for which </w:t>
      </w:r>
      <w:r>
        <w:rPr>
          <w:i/>
        </w:rPr>
        <w:t>Forest Conservation Council</w:t>
      </w:r>
      <w:r>
        <w:t xml:space="preserve"> is cited in the document.</w:t>
      </w:r>
    </w:p>
    <w:p>
      <w:pPr>
        <w:spacing w:before="0" w:after="0"/>
      </w:pPr>
      <w:r>
        <w:rPr>
          <w:b/>
        </w:rPr>
        <w:t>2. United States v. City of Los Angeles, 288 F.3d 391:</w:t>
      </w:r>
      <w:r>
        <w:t xml:space="preserve"> This Ninth Circuit case provides a comprehensive analysis of the "same ultimate objective" presumption and the liberal policy favoring intervention, while also addressing why amicus status is often insufficient to protect a party's interests.</w:t>
      </w:r>
    </w:p>
    <w:p>
      <w:pPr>
        <w:spacing w:before="0" w:after="0"/>
      </w:pPr>
      <w:r>
        <w:rPr>
          <w:b/>
        </w:rPr>
        <w:t>3. Southwest Center for Biological Diversity v. Berg, 268 F.3d 810:</w:t>
      </w:r>
      <w:r>
        <w:t xml:space="preserve"> This case is relevant for its discussion on the liberal construction of Rule 24(a) and the "significantly protectable interest" requirement, specifically defining it in the context of the effects of requested injunctive relief.</w:t>
      </w:r>
    </w:p>
    <w:p>
      <w:pPr>
        <w:spacing w:before="0" w:after="0"/>
      </w:pPr>
      <w:r>
        <w:rPr>
          <w:b/>
        </w:rPr>
        <w:t>4. United States v. Alisal Water Corp., 370 F.3d 915:</w:t>
      </w:r>
      <w:r>
        <w:t xml:space="preserve"> This Ninth Circuit case is on-point for the document's arguments regarding timeliness and the nature of protectable interests, specifically distinguishing between direct interests and those that are merely economic or derivative.</w:t>
      </w:r>
    </w:p>
    <w:p>
      <w:pPr>
        <w:spacing w:before="0" w:after="0"/>
      </w:pPr>
      <w:r>
        <w:rPr>
          <w:b/>
        </w:rPr>
        <w:t>5. California ex rel. Lockyer v. United States, 450 F.3d 436:</w:t>
      </w:r>
      <w:r>
        <w:t xml:space="preserve"> This case is relevant to the document's discussion of legal impairment and the "narrow, parochial interests" vs. broad public interest distinction used to evaluate the adequacy of representation.</w:t>
      </w:r>
    </w:p>
    <w:p>
      <w:r>
        <w:br w:type="page"/>
      </w:r>
    </w:p>
    <w:p>
      <w:pPr>
        <w:spacing w:before="0" w:after="0"/>
      </w:pPr>
      <w:r/>
      <w:hyperlink w:anchor="minorissues">
        <w:r>
          <w:rPr/>
          <w:t xml:space="preserve">↑ Triage</w:t>
        </w:r>
      </w:hyperlink>
    </w:p>
    <w:p>
      <w:pPr>
        <w:pStyle w:val="Heading3"/>
      </w:pPr>
      <w:r>
        <w:bookmarkStart w:id="20" w:name="citizensforb16"/>
        <w:bookmarkEnd w:id="20" w:name="citizensforb16"/>
      </w:r>
      <w:r>
        <w:t>Citizens for Balanced Use v. Mont. Wilderness Ass’n 647 F.3d 893</w:t>
      </w:r>
    </w:p>
    <w:p>
      <w:pPr>
        <w:spacing w:before="240" w:after="240"/>
      </w:pPr>
      <w:r>
        <w:rPr>
          <w:b/>
          <w:i/>
          <w:color w:val="3A0517"/>
        </w:rPr>
        <w:t>Use of Citation</w:t>
      </w:r>
      <w:r>
        <w:t xml:space="preserve"> 🟡</w:t>
      </w:r>
    </w:p>
    <w:p>
      <w:pPr>
        <w:spacing w:before="0" w:after="0"/>
      </w:pPr>
      <w:r>
        <w:t>Plaintiff's Opposition to Khalfani Rushiddin's Motion to Intervene cites Citizens for Balanced Use v. Mont. Wilderness Ass’n to establish the legal standard for intervention as of right under Federal Rule of Civil Procedure 24(a)(2). Specifically, the document cites the case for the legal rule that a movant must demonstrate four criteria: "(1) timeliness; (2) a significantly protectable interest; (3) impairment of that interest absent intervention; and (4) inadequate representation" (p. 3). In terms of context, the citation is placed within the "Legal Standard" section to provide the framework for the court's analysis of Khalfani Rushiddin's motion to intervene in the copyright dispute (p. 3). The document interprets the legal reasoning from Citizens for Balanced Use as the authoritative test in the Ninth Circuit for determining whether a party has a right to intervene (p. 3). The document applies these legal concepts by using the four-part test as the structural basis for its subsequent arguments, asserting that the Movant fails to meet the requirements of timeliness, protectable interest, and inadequate representation (p. 3-5). While the document does not engage in a fact-to-fact analogy with the specific circumstances of Citizens for Balanced Use, it uses the case as the primary legal authority to define the burden of proof the Movant must satisfy (p. 3).</w:t>
      </w:r>
    </w:p>
    <w:p>
      <w:pPr>
        <w:spacing w:before="240" w:after="240"/>
      </w:pPr>
      <w:r>
        <w:rPr>
          <w:b/>
          <w:i/>
          <w:color w:val="3A0517"/>
        </w:rPr>
        <w:t>Accuracy Review</w:t>
      </w:r>
    </w:p>
    <w:p>
      <w:pPr>
        <w:spacing w:before="0" w:after="0"/>
      </w:pPr>
      <w:r>
        <w:t>The citation to Citizens for Balanced Use v. Mont. Wilderness Ass’n is technically accurate in its statement of the four-part test for intervention as of right, but it represents a Contextual Overextension and Incomplete Application in its broader legal context. While the Plaintiff correctly identifies the elements (timeliness, protectable interest, impairment, and inadequate representation), it omits the critical qualifying language from the cited case which mandates that these requirements be 'broadly interpreted in favor of intervention' and that the burden for the fourth element is 'minimal.' By using Citizens for Balanced Use as the primary authority to argue for the denial of intervention, the Plaintiff creates a potential Outcome Alignment issue: the cited case actually reversed a denial of intervention and lowered the bar for prospective intervenors, whereas the Plaintiff uses it to support a high bar for the Movant. Furthermore, the Plaintiff's argument regarding 'significantly protectable interest' relies on a narrow definition of legal title, whereas Citizens for Balanced Use explicitly states that 'no specific legal or equitable interest need be established' and that the inquiry is a 'practical, threshold' one. Consequently, while the rule statement is correct, the application ignores the pro-intervention spirit and the specific 'minimal burden' standard that defines the Ninth Circuit's holding in the cited case.</w:t>
      </w:r>
    </w:p>
    <w:p>
      <w:pPr>
        <w:spacing w:before="240" w:after="240"/>
      </w:pPr>
      <w:r>
        <w:rPr>
          <w:b/>
          <w:i/>
          <w:color w:val="3A0517"/>
        </w:rPr>
        <w:t>Other Relevant Precedence</w:t>
      </w:r>
    </w:p>
    <w:p>
      <w:pPr>
        <w:spacing w:before="0" w:after="0"/>
      </w:pPr>
      <w:r>
        <w:rPr>
          <w:b/>
        </w:rPr>
        <w:t>1. Western Watersheds Project v. Haaland, 22 F.4th 828:</w:t>
      </w:r>
      <w:r>
        <w:t xml:space="preserve"> This Ninth Circuit case is highly on-point as it elaborates on the four-part test for intervention as of right, specifically detailing the "minimal" burden for showing inadequate representation and the "same ultimate objective" presumption, both of which are central to the arguments in the Plaintiff's opposition.</w:t>
      </w:r>
    </w:p>
    <w:p>
      <w:pPr>
        <w:spacing w:before="0" w:after="0"/>
      </w:pPr>
      <w:r>
        <w:rPr>
          <w:b/>
        </w:rPr>
        <w:t>2. Chamness v. Bowen, 722 F.3d 1110:</w:t>
      </w:r>
      <w:r>
        <w:t xml:space="preserve"> This case provides a jurisdictional match within the Ninth Circuit and reinforces the application of the four-part test from </w:t>
      </w:r>
      <w:r>
        <w:rPr>
          <w:i/>
        </w:rPr>
        <w:t>Citizens for Balanced Use</w:t>
      </w:r>
      <w:r>
        <w:t>, while also clarifying the standard of review for such motions.</w:t>
      </w:r>
    </w:p>
    <w:p>
      <w:r>
        <w:br w:type="page"/>
      </w:r>
    </w:p>
    <w:p>
      <w:pPr>
        <w:spacing w:before="0" w:after="0"/>
      </w:pPr>
      <w:r/>
      <w:hyperlink w:anchor="minorissues">
        <w:r>
          <w:rPr/>
          <w:t xml:space="preserve">↑ Triage</w:t>
        </w:r>
      </w:hyperlink>
    </w:p>
    <w:p>
      <w:pPr>
        <w:pStyle w:val="Heading3"/>
      </w:pPr>
      <w:r>
        <w:bookmarkStart w:id="21" w:name="smithvlaunif17"/>
        <w:bookmarkEnd w:id="21" w:name="smithvlaunif17"/>
      </w:r>
      <w:r>
        <w:t>Smith v. L.A. Unified Sch. Dist. 830 F.3d 843</w:t>
      </w:r>
    </w:p>
    <w:p>
      <w:pPr>
        <w:spacing w:before="240" w:after="240"/>
      </w:pPr>
      <w:r>
        <w:rPr>
          <w:b/>
          <w:i/>
          <w:color w:val="3A0517"/>
        </w:rPr>
        <w:t>Use of Citation</w:t>
      </w:r>
      <w:r>
        <w:t xml:space="preserve"> 🟡</w:t>
      </w:r>
    </w:p>
    <w:p>
      <w:pPr>
        <w:spacing w:before="0" w:after="0"/>
      </w:pPr>
      <w:r>
        <w:t>Plaintiff's Opposition to Khalfani Rushiddin's Motion to Intervene cites Smith v. L.A. Unified Sch. Dist. to establish the legal rule for determining the timeliness of a motion to intervene under Federal Rule of Civil Procedure 24. Specifically, the document cites the case for the proposition that timeliness requires the consideration of three factors: (1) the stage of the proceedings, (2) prejudice to other parties, and (3) the reason for the delay (p. 3). In the context of this matter, the Plaintiff uses this citation to argue that Khalfani Rushiddin's motion is procedurally defective because he waited months into the litigation to file without providing a justification (p. 3). The document interprets the legal reasoning in Smith as a mandatory framework for evaluating the impact of a late intervention on existing parties and the court's efficiency (p. 3-4). The Plaintiff directly applies these concepts by asserting that the Movant's delay risks disrupting the litigation, thereby failing the timeliness test established in Smith (p. 3).</w:t>
      </w:r>
    </w:p>
    <w:p>
      <w:pPr>
        <w:spacing w:before="240" w:after="240"/>
      </w:pPr>
      <w:r>
        <w:rPr>
          <w:b/>
          <w:i/>
          <w:color w:val="3A0517"/>
        </w:rPr>
        <w:t>Accuracy Review</w:t>
      </w:r>
    </w:p>
    <w:p>
      <w:pPr>
        <w:spacing w:before="0" w:after="0"/>
      </w:pPr>
      <w:r>
        <w:t>The Plaintiff's citation of Smith v. L.A. Unified Sch. Dist. is a Contextual Overextension and an Incomplete Application of the Ninth Circuit's holding. While the Plaintiff accurately identifies the three-factor test for timeliness, it applies these factors in a manner that contradicts the core reasoning of Smith. In Smith, the court explicitly stated that the 'mere lapse of time alone is not determinative' and that the 'crucial date' for timeliness is when the proposed intervenor should have been aware that their interests were not adequately protected. The Plaintiff's Opposition argues that the Movant 'waited months into litigation with no justification,' yet it fails to address the specific 'notice' requirement emphasized in Smith. Furthermore, Smith held that prejudice to existing parties must flow from the delay itself, not from the inherent difficulty of adding a new party; the Plaintiff's argument that intervention would 'prejudice the parties, delay proceedings, and expand the scope of litigation' is exactly the type of generalized prejudice the Smith court rejected as a basis for denying a timely motion. By using Smith to support a rigid, time-based denial without analyzing the 'change of circumstances' or 'notice' elements, the Plaintiff misapplies the protective standard established by the Ninth Circuit.</w:t>
      </w:r>
    </w:p>
    <w:p>
      <w:pPr>
        <w:spacing w:before="240" w:after="240"/>
      </w:pPr>
      <w:r>
        <w:rPr>
          <w:b/>
          <w:i/>
          <w:color w:val="3A0517"/>
        </w:rPr>
        <w:t>Other Relevant Precedence</w:t>
      </w:r>
    </w:p>
    <w:p>
      <w:pPr>
        <w:spacing w:before="0" w:after="0"/>
      </w:pPr>
      <w:r>
        <w:rPr>
          <w:b/>
        </w:rPr>
        <w:t>1. Western Watersheds Project v. Haaland, 22 F.4th 828:</w:t>
      </w:r>
      <w:r>
        <w:t xml:space="preserve"> This Ninth Circuit case is more recent than </w:t>
      </w:r>
      <w:r>
        <w:rPr>
          <w:i/>
        </w:rPr>
        <w:t>Smith</w:t>
      </w:r>
      <w:r>
        <w:t xml:space="preserve"> and provides a direct jurisdictional match for the federal court. It reaffirms the three-factor timeliness test and specifically emphasizes that prejudice to existing parties is the most important consideration in the timeliness analysis.</w:t>
      </w:r>
    </w:p>
    <w:p>
      <w:r>
        <w:br w:type="page"/>
      </w:r>
    </w:p>
    <w:p>
      <w:pPr>
        <w:spacing w:before="0" w:after="0"/>
      </w:pPr>
      <w:r/>
      <w:hyperlink w:anchor="minorissues">
        <w:r>
          <w:rPr/>
          <w:t xml:space="preserve">↑ Triage</w:t>
        </w:r>
      </w:hyperlink>
    </w:p>
    <w:p>
      <w:pPr>
        <w:pStyle w:val="Heading3"/>
      </w:pPr>
      <w:r>
        <w:bookmarkStart w:id="22" w:name="allenvbedoll18"/>
        <w:bookmarkEnd w:id="22" w:name="allenvbedoll18"/>
      </w:r>
      <w:r>
        <w:t>Allen v. Bedolla 787 F.3d 1218</w:t>
      </w:r>
    </w:p>
    <w:p>
      <w:pPr>
        <w:spacing w:before="240" w:after="240"/>
      </w:pPr>
      <w:r>
        <w:rPr>
          <w:b/>
          <w:i/>
          <w:color w:val="3A0517"/>
        </w:rPr>
        <w:t>Use of Citation</w:t>
      </w:r>
      <w:r>
        <w:t xml:space="preserve"> 🟡</w:t>
      </w:r>
    </w:p>
    <w:p>
      <w:pPr>
        <w:spacing w:before="0" w:after="0"/>
      </w:pPr>
      <w:r>
        <w:t>Plaintiff's Opposition to Khalfani Rushiddin's Motion to Intervene cites Allen v. Bedolla, 787 F.3d 1218 to support the legal rule that the Ninth Circuit denies motions that are untimely and risk disrupting the litigation (p. 4). The context of this citation is found within the Plaintiff's argument regarding the untimeliness of the Movant's motion to intervene, specifically noting that the Movant waited months into the litigation without providing a justification for the delay (p. 3). The document interprets the legal reasoning in Allen v. Bedolla as a mandate for courts to reject late-filed motions that threaten to cause disruption to the legal process (p. 4). The Plaintiff directly applies the legal concepts from Allen v. Bedolla by asserting that, similar to the circumstances in that case, the current motion is untimely and risks disruption, and therefore should be denied (p. 4).</w:t>
      </w:r>
    </w:p>
    <w:p>
      <w:pPr>
        <w:spacing w:before="240" w:after="240"/>
      </w:pPr>
      <w:r>
        <w:rPr>
          <w:b/>
          <w:i/>
          <w:color w:val="3A0517"/>
        </w:rPr>
        <w:t>Accuracy Review</w:t>
      </w:r>
    </w:p>
    <w:p>
      <w:pPr>
        <w:spacing w:before="0" w:after="0"/>
      </w:pPr>
      <w:r>
        <w:t>The citation to Allen v. Bedolla in the Plaintiff's Opposition is a Contextual Overextension and an Incomplete Application. While the Plaintiff accurately identifies that Allen supports denying untimely motions to intervene, the document applies this principle to a 'months-long' delay without establishing the specific type of prejudice required by the Allen holding. In Allen, the litigation had been ongoing for four years, the movants had known about it for at least a year, and—most critically—the motion was filed on the 'eve of settlement,' creating a high risk of derailing a complex class action resolution. The Plaintiff's document fails to demonstrate that the Movant’s intervention in this copyright case would cause a similar level of prejudice or that the litigation is at a comparably sensitive stage (like a pending settlement). By omitting the 'prejudice' element and focusing broadly on 'disruption,' the Plaintiff overextends a rule rooted in protecting settled negotiations to a standard litigation delay.</w:t>
      </w:r>
    </w:p>
    <w:p>
      <w:r>
        <w:br w:type="page"/>
      </w:r>
    </w:p>
    <w:p>
      <w:pPr>
        <w:spacing w:before="0" w:after="0"/>
      </w:pPr>
      <w:r/>
      <w:hyperlink w:anchor="minorissues">
        <w:r>
          <w:rPr/>
          <w:t xml:space="preserve">↑ Triage</w:t>
        </w:r>
      </w:hyperlink>
    </w:p>
    <w:p>
      <w:pPr>
        <w:pStyle w:val="Heading3"/>
      </w:pPr>
      <w:r>
        <w:bookmarkStart w:id="23" w:name="californiaex19"/>
        <w:bookmarkEnd w:id="23" w:name="californiaex19"/>
      </w:r>
      <w:r>
        <w:t>California ex rel. Lockyer v. United States 450 F.3d 436</w:t>
      </w:r>
    </w:p>
    <w:p>
      <w:pPr>
        <w:spacing w:before="240" w:after="240"/>
      </w:pPr>
      <w:r>
        <w:rPr>
          <w:b/>
          <w:i/>
          <w:color w:val="3A0517"/>
        </w:rPr>
        <w:t>Use of Citation</w:t>
      </w:r>
      <w:r>
        <w:t xml:space="preserve"> 🟡</w:t>
      </w:r>
    </w:p>
    <w:p>
      <w:pPr>
        <w:spacing w:before="0" w:after="0"/>
      </w:pPr>
      <w:r>
        <w:t>Plaintiff's Opposition to Khalfani Rushiddin's Motion to Intervene cites California ex rel. Lockyer v. United States to support the legal rule that Rule 24(a)(2) requires a movant to demonstrate that the pending action would legally impair their interest (p. 4). In the context of this litigation, the Plaintiff uses this citation to argue that Khalfani Rushiddin's motion to intervene should be denied because his interests as an heir are not legally impaired by a copyright infringement suit (p. 4). The document interprets the legal reasoning from Lockyer as establishing a threshold for impairment that must be met for intervention as of right (p. 4). The Plaintiff directly applies this concept by asserting that the Movant's interests are not impaired because the case concerns copyright rather than probate, and the Movant has alternative remedies available in the Nevada probate court (p. 4-5).</w:t>
      </w:r>
    </w:p>
    <w:p>
      <w:pPr>
        <w:spacing w:before="240" w:after="240"/>
      </w:pPr>
      <w:r>
        <w:rPr>
          <w:b/>
          <w:i/>
          <w:color w:val="3A0517"/>
        </w:rPr>
        <w:t>Accuracy Review</w:t>
      </w:r>
    </w:p>
    <w:p>
      <w:pPr>
        <w:spacing w:before="0" w:after="0"/>
      </w:pPr>
      <w:r>
        <w:t>The citation to California ex rel. Lockyer v. United States is partially accurate but contains a technical mischaracterization of the legal standard. The Plaintiff's document states that Rule 24(a)(2) requires a showing that the action would 'legally impair' the movant's interest. However, Lockyer explicitly emphasizes a 'practical impairment' standard, stating that the court has 'rejected the notion that Rule 24(a)(2) requires a specific legal or equitable interest' and instead looks at whether an absentee would be 'substantially affected in a practical sense.' By framing the requirement as a 'legal' impairment, the Plaintiff misrepresents the more liberal 'practical' standard established in Lockyer. Despite this technical error in terminology, the Plaintiff's application of the 'other means' doctrine is highly accurate. Lockyer reasons that impairment is mitigated if the proposed intervenor has an alternative forum to mount a defense; the Plaintiff correctly applies this by pointing to the Nevada probate court as the proper and available venue for the Movant's heirship and estate administration disputes, which are distinct from the federal copyright claims at issue.</w:t>
      </w:r>
    </w:p>
    <w:p>
      <w:pPr>
        <w:spacing w:before="240" w:after="240"/>
      </w:pPr>
      <w:r>
        <w:rPr>
          <w:b/>
          <w:i/>
          <w:color w:val="3A0517"/>
        </w:rPr>
        <w:t>Other Relevant Precedence</w:t>
      </w:r>
    </w:p>
    <w:p>
      <w:pPr>
        <w:spacing w:before="0" w:after="0"/>
      </w:pPr>
      <w:r>
        <w:rPr>
          <w:b/>
        </w:rPr>
        <w:t>1. United States v. Aerojet General Corp., 606 F.3d 1142:</w:t>
      </w:r>
      <w:r>
        <w:t xml:space="preserve"> This Ninth Circuit case cites </w:t>
      </w:r>
      <w:r>
        <w:rPr>
          <w:i/>
        </w:rPr>
        <w:t>Lockyer</w:t>
      </w:r>
      <w:r>
        <w:t xml:space="preserve"> to support the principle that a proposed intervenor’s interest is not impaired if they have "other means" to protect it. This is highly on-point as the Plaintiff argues the Movant has alternative remedies in Nevada probate court.</w:t>
      </w:r>
    </w:p>
    <w:p>
      <w:pPr>
        <w:spacing w:before="0" w:after="0"/>
      </w:pPr>
      <w:r>
        <w:rPr>
          <w:b/>
        </w:rPr>
        <w:t>2. Citizens for Balanced Use v. Montana Wilderness Ass'n, 647 F.3d 893:</w:t>
      </w:r>
      <w:r>
        <w:t xml:space="preserve"> This Ninth Circuit case (already cited in the document) relies on </w:t>
      </w:r>
      <w:r>
        <w:rPr>
          <w:i/>
        </w:rPr>
        <w:t>Lockyer</w:t>
      </w:r>
      <w:r>
        <w:t xml:space="preserve"> for the proposition that if an applicant has a significant protectable interest, the disposition of the case may, as a practical matter, affect it, providing further authority on the impairment prong of Rule 24(a)(2).</w:t>
      </w:r>
    </w:p>
    <w:p>
      <w:pPr>
        <w:spacing w:before="0" w:after="0"/>
      </w:pPr>
      <w:r>
        <w:rPr>
          <w:b/>
        </w:rPr>
        <w:t>3. Cooper v. Newsom, 13 F.4th 857:</w:t>
      </w:r>
      <w:r>
        <w:t xml:space="preserve"> This Ninth Circuit case cites </w:t>
      </w:r>
      <w:r>
        <w:rPr>
          <w:i/>
        </w:rPr>
        <w:t>Lockyer</w:t>
      </w:r>
      <w:r>
        <w:t xml:space="preserve"> to define a "significant protectable interest" as one that exists when a legally protected interest is likely to suffer a "practical impairment" as a result of the pending litigation, reinforcing the standard used to evaluate the Movant's stake.</w:t>
      </w:r>
    </w:p>
    <w:p>
      <w:pPr>
        <w:spacing w:before="0" w:after="0"/>
      </w:pPr>
      <w:r>
        <w:rPr>
          <w:b/>
        </w:rPr>
        <w:t>4. City of Emeryville v. Robinson, 621 F.3d 1251:</w:t>
      </w:r>
      <w:r>
        <w:t xml:space="preserve"> This Ninth Circuit case cites </w:t>
      </w:r>
      <w:r>
        <w:rPr>
          <w:i/>
        </w:rPr>
        <w:t>Lockyer</w:t>
      </w:r>
      <w:r>
        <w:t xml:space="preserve"> to explain that a party has a sufficient interest for intervention purposes if it will suffer a "practical impairment" of its interests, which is the central legal threshold the Plaintiff argues the Movant fails to meet.</w:t>
      </w:r>
    </w:p>
    <w:p>
      <w:pPr>
        <w:spacing w:before="0" w:after="0"/>
      </w:pPr>
      <w:r>
        <w:rPr>
          <w:b/>
        </w:rPr>
        <w:t>5. Wilderness Society v. United States Forest Service, 630 F.3d 1173:</w:t>
      </w:r>
      <w:r>
        <w:t xml:space="preserve"> This Ninth Circuit case cites </w:t>
      </w:r>
      <w:r>
        <w:rPr>
          <w:i/>
        </w:rPr>
        <w:t>Lockyer</w:t>
      </w:r>
      <w:r>
        <w:t xml:space="preserve"> to emphasize that the "significantly protectable" interest requirement under Rule 24(a)(2) focuses on the "practical effect" of the litigation on the prospective intervenor.</w:t>
      </w:r>
    </w:p>
    <w:p>
      <w:r>
        <w:br w:type="page"/>
      </w:r>
    </w:p>
    <w:p>
      <w:pPr>
        <w:spacing w:before="0" w:after="0"/>
      </w:pPr>
      <w:r/>
      <w:hyperlink w:anchor="minorissues">
        <w:r>
          <w:rPr/>
          <w:t xml:space="preserve">↑ Triage</w:t>
        </w:r>
      </w:hyperlink>
    </w:p>
    <w:p>
      <w:pPr>
        <w:pStyle w:val="Heading3"/>
      </w:pPr>
      <w:r>
        <w:bookmarkStart w:id="24" w:name="scottvthomps20"/>
        <w:bookmarkEnd w:id="24" w:name="scottvthomps20"/>
      </w:r>
      <w:r>
        <w:t>Scott v. Thompson 184 Cal. App. 4th 1506</w:t>
      </w:r>
    </w:p>
    <w:p>
      <w:pPr>
        <w:spacing w:before="240" w:after="240"/>
      </w:pPr>
      <w:r>
        <w:rPr>
          <w:b/>
          <w:i/>
          <w:color w:val="3A0517"/>
        </w:rPr>
        <w:t>Use of Citation</w:t>
      </w:r>
      <w:r>
        <w:t xml:space="preserve"> 🟡</w:t>
      </w:r>
    </w:p>
    <w:p>
      <w:pPr>
        <w:spacing w:before="0" w:after="0"/>
      </w:pPr>
      <w:r>
        <w:t>Plaintiff's Opposition to Khalfani Rushiddin's Motion to Intervene cites Scott v. Thompson to establish the legal rule that only a court-appointed personal representative possesses the legal capacity to litigate claims that belong to a decedent's estate (p. 3). The citation is used within the context of the Plaintiff's argument that Paula White-Rushiddin is the sole court-recognized Administrator of the Estate, and that the Movant, Khalfani Rushiddin, lacks any independent authority to participate in the litigation (p. 3). The document interprets Scott v. Thompson as a definitive bar against unauthorized individuals—even those with biological ties to the decedent—from controlling or litigating the Estate's intellectual property (p. 3). The Plaintiff directly applies this legal concept by noting that the Movant has failed to present letters of administration or a probate appointment, concluding that he therefore lacks the capacity to litigate or control the copyrights at issue in this federal action (p. 3).</w:t>
      </w:r>
    </w:p>
    <w:p>
      <w:pPr>
        <w:spacing w:before="240" w:after="240"/>
      </w:pPr>
      <w:r>
        <w:rPr>
          <w:b/>
          <w:i/>
          <w:color w:val="3A0517"/>
        </w:rPr>
        <w:t>Accuracy Review</w:t>
      </w:r>
    </w:p>
    <w:p>
      <w:pPr>
        <w:spacing w:before="0" w:after="0"/>
      </w:pPr>
      <w:r>
        <w:t>The citation is contextually overextended and technically incomplete. Scott v. Thompson addresses standing in the specific context of California wrongful death actions and the hierarchy of heirs under the Probate Code and Uniform Parentage Act. The Opposition mischaracterizes the case as establishing a universal rule that only a personal representative may litigate, whereas Scott (citing Gordon v. Reynolds) acknowledges that heirs may also sue, provided the representative does not. Moreover, the Opposition relies on state-law standing priorities to oppose a motion to intervene in federal court, which is governed by the significantly protectable interest standard of Fed. R. Civ. P. 24, a standard not addressed in Scott.</w:t>
      </w:r>
    </w:p>
    <w:p>
      <w:pPr>
        <w:spacing w:before="240" w:after="240"/>
      </w:pPr>
      <w:r>
        <w:rPr>
          <w:b/>
          <w:i/>
          <w:color w:val="3A0517"/>
        </w:rPr>
        <w:t>Other Relevant Precedence</w:t>
      </w:r>
    </w:p>
    <w:p>
      <w:pPr>
        <w:spacing w:before="0" w:after="0"/>
      </w:pPr>
      <w:r>
        <w:rPr>
          <w:b/>
        </w:rPr>
        <w:t>1. Adams v. Superior Court, 196 Cal. App. 4th 71:</w:t>
      </w:r>
      <w:r>
        <w:t xml:space="preserve"> This case is more on-point as it specifically addresses the exclusivity of standing between a personal representative and heirs, clarifying that while both have potential standing, they cannot both maintain the action simultaneously, which directly addresses the Movant's attempt to intervene.</w:t>
      </w:r>
    </w:p>
    <w:p>
      <w:pPr>
        <w:spacing w:before="0" w:after="0"/>
      </w:pPr>
      <w:r>
        <w:rPr>
          <w:b/>
        </w:rPr>
        <w:t>2. As v. Miller, 34 Cal.App.5th 284:</w:t>
      </w:r>
      <w:r>
        <w:t xml:space="preserve"> This case provides a more direct application of the statutory hierarchy rule, reinforcing that standing is strictly limited to the specific persons and ranks identified in the statute, supporting the Administrator's priority over the heir.</w:t>
      </w:r>
    </w:p>
    <w:p>
      <w:pPr>
        <w:spacing w:before="0" w:after="0"/>
      </w:pPr>
      <w:r>
        <w:rPr>
          <w:b/>
        </w:rPr>
        <w:t>3. Spotlight on Coastal Corruption v. Kinsey, 57 Cal.App.5th 874:</w:t>
      </w:r>
      <w:r>
        <w:t xml:space="preserve"> This case is on-point regarding the procedural consequences of the standing principles in </w:t>
      </w:r>
      <w:r>
        <w:rPr>
          <w:i/>
        </w:rPr>
        <w:t>Scott</w:t>
      </w:r>
      <w:r>
        <w:t>, establishing that a lack of standing is a fatal jurisdictional defect that necessitates judgment against the party.</w:t>
      </w:r>
    </w:p>
    <w:p>
      <w:pPr>
        <w:spacing w:before="0" w:after="0"/>
      </w:pPr>
      <w:r>
        <w:rPr>
          <w:b/>
        </w:rPr>
        <w:t>4. A.G. v. County of Los Angeles, 28 Cal.App.5th 373:</w:t>
      </w:r>
      <w:r>
        <w:t xml:space="preserve"> This case applies the </w:t>
      </w:r>
      <w:r>
        <w:rPr>
          <w:i/>
        </w:rPr>
        <w:t>Scott</w:t>
      </w:r>
      <w:r>
        <w:t xml:space="preserve"> framework to confirm that established legal status provides standing that cannot be bypassed by alternative claimants, which is relevant to the Administrator's exclusive authority.</w:t>
      </w:r>
    </w:p>
    <w:p>
      <w:pPr>
        <w:spacing w:before="0" w:after="0"/>
      </w:pPr>
      <w:r>
        <w:rPr>
          <w:b/>
        </w:rPr>
        <w:t>5. Zambito v. Martino, 96 Cal. App. 5th 596:</w:t>
      </w:r>
      <w:r>
        <w:t xml:space="preserve"> This case is on-point for the interplay between the Probate Code and the Uniform Parentage Act, which the Plaintiff uses to argue that the Movant's biological connection does not grant him legal authority over the Estate's assets.</w:t>
      </w:r>
    </w:p>
    <w:p>
      <w:r>
        <w:br w:type="page"/>
      </w:r>
    </w:p>
    <w:p>
      <w:pPr>
        <w:spacing w:before="0" w:after="0"/>
      </w:pPr>
      <w:r/>
      <w:hyperlink w:anchor="minorissues">
        <w:r>
          <w:rPr/>
          <w:t xml:space="preserve">↑ Triage</w:t>
        </w:r>
      </w:hyperlink>
    </w:p>
    <w:p>
      <w:pPr>
        <w:pStyle w:val="Heading3"/>
      </w:pPr>
      <w:r>
        <w:bookmarkStart w:id="25" w:name="unitedstates21"/>
        <w:bookmarkEnd w:id="25" w:name="unitedstates21"/>
      </w:r>
      <w:r>
        <w:t>United States v. Alisal Water Corp. 370 F.3d 915</w:t>
      </w:r>
    </w:p>
    <w:p>
      <w:pPr>
        <w:spacing w:before="240" w:after="240"/>
      </w:pPr>
      <w:r>
        <w:rPr>
          <w:b/>
          <w:i/>
          <w:color w:val="3A0517"/>
        </w:rPr>
        <w:t>Use of Citation</w:t>
      </w:r>
      <w:r>
        <w:t xml:space="preserve"> 🟡</w:t>
      </w:r>
    </w:p>
    <w:p>
      <w:pPr>
        <w:spacing w:before="0" w:after="0"/>
      </w:pPr>
      <w:r>
        <w:t>Plaintiff's Opposition to Khalfani Rushiddin's Motion to Intervene cites United States v. Alisal Water Corp. to support the legal rule that interests which are economic, derivative, or collateral do not qualify as significantly protectable interests for the purpose of intervention (p. 4). The citation appears in the context of the Plaintiff's argument that the Movant, Khalfani Rushiddin, lacks a sufficient legal interest in the copyright litigation because his claims are based on biological lineage rather than legal title (p. 4). The document interprets the legal reasoning from United States v. Alisal Water Corp. as establishing that a protectable interest must be more than a mere economic or derivative stake in the outcome of the litigation (p. 4). The Plaintiff directly applies this concept by arguing that since the Movant owns no copyrights and relies on his status as an heir, his interest is exactly the type of derivative or economic interest that the Ninth Circuit, in Alisal Water Corp., deemed insufficient to justify intervention (p. 4).</w:t>
      </w:r>
    </w:p>
    <w:p>
      <w:pPr>
        <w:spacing w:before="240" w:after="240"/>
      </w:pPr>
      <w:r>
        <w:rPr>
          <w:b/>
          <w:i/>
          <w:color w:val="3A0517"/>
        </w:rPr>
        <w:t>Accuracy Review</w:t>
      </w:r>
    </w:p>
    <w:p>
      <w:pPr>
        <w:spacing w:before="0" w:after="0"/>
      </w:pPr>
      <w:r>
        <w:t>The citation to United States v. Alisal Water Corp. is partially accurate but involves a contextual overextension and a slight mischaracterization of the rule regarding economic interests. The Plaintiff's Opposition states categorically that 'Interests that are economic, derivative, or collateral do not qualify' for intervention. However, the Ninth Circuit in Alisal Water Corp. actually stated that 'a non-speculative, economic interest may be sufficient to support a right of intervention' provided it is 'concrete and related to the underlying subject matter of the action' (p. 919). By omitting this qualification, the Plaintiff misrepresents the flexibility of the 'interest' test. Furthermore, the application of Alisal—which dealt with a judgment creditor's interest in a defendant's general assets—to an heir's interest in the specific property (copyrights) that is the subject of the litigation is a contextual overextension. An heir's interest in the Estate's property is arguably more 'related' to the subject matter of a copyright suit than a creditor's interest is to an environmental enforcement action. The Plaintiff relies on Alisal to bridge the gap between a biological connection and legal title, but Alisal's holding is rooted in the remoteness of a creditor's financial stake, not the specific standing of heirs in probate matters.</w:t>
      </w:r>
    </w:p>
    <w:p>
      <w:pPr>
        <w:spacing w:before="240" w:after="240"/>
      </w:pPr>
      <w:r>
        <w:rPr>
          <w:b/>
          <w:i/>
          <w:color w:val="3A0517"/>
        </w:rPr>
        <w:t>Applicable Negative Treatment</w:t>
      </w:r>
    </w:p>
    <w:p>
      <w:pPr>
        <w:spacing w:before="0" w:after="0"/>
      </w:pPr>
      <w:r>
        <w:rPr>
          <w:b/>
        </w:rPr>
        <w:t>1. Smith v. Los Angeles Unified School District, 830 F.3d 843:</w:t>
      </w:r>
      <w:r>
        <w:t xml:space="preserve"> The Ninth Circuit limited the restrictive application of the "interest" test by emphasizing that the requirements for intervention must be broadly interpreted in favor of the applicant, using this principle to reverse a denial of intervention.</w:t>
      </w:r>
    </w:p>
    <w:p>
      <w:pPr>
        <w:spacing w:before="0" w:after="0"/>
      </w:pPr>
      <w:r>
        <w:rPr>
          <w:b/>
        </w:rPr>
        <w:t>2. In re Estate of Ferdinand E. Marcos Human Rights Litigation, 536 F.3d 980:</w:t>
      </w:r>
      <w:r>
        <w:t xml:space="preserve"> The court distinguished the "remote interest" holding in </w:t>
      </w:r>
      <w:r>
        <w:rPr>
          <w:i/>
        </w:rPr>
        <w:t>Alisal</w:t>
      </w:r>
      <w:r>
        <w:t>, finding that an interest is sufficiently protectable if it has become "concrete and direct" due to the specific legal relief sought in the action, rather than remaining abstract or indirect.</w:t>
      </w:r>
    </w:p>
    <w:p>
      <w:pPr>
        <w:spacing w:before="0" w:after="0"/>
      </w:pPr>
      <w:r>
        <w:rPr>
          <w:b/>
        </w:rPr>
        <w:t>3. California ex rel. Lockyer v. United States, 450 F.3d 436:</w:t>
      </w:r>
      <w:r>
        <w:t xml:space="preserve"> The court limited the application of </w:t>
      </w:r>
      <w:r>
        <w:rPr>
          <w:i/>
        </w:rPr>
        <w:t>Alisal</w:t>
      </w:r>
      <w:r>
        <w:t>’s "other means" rule regarding the impairment of interests, clarifying that intervention should not be denied unless the alternative forum allows the proposed intervenor to mount a "robust defense" of their specific interests.</w:t>
      </w:r>
    </w:p>
    <w:p>
      <w:pPr>
        <w:spacing w:before="240" w:after="240"/>
      </w:pPr>
      <w:r>
        <w:rPr>
          <w:b/>
          <w:i/>
          <w:color w:val="3A0517"/>
        </w:rPr>
        <w:t>Other Relevant Precedence</w:t>
      </w:r>
    </w:p>
    <w:p>
      <w:pPr>
        <w:spacing w:before="0" w:after="0"/>
      </w:pPr>
      <w:r>
        <w:rPr>
          <w:b/>
        </w:rPr>
        <w:t>1. Cooper v. Newsom, 13 F.4th 857:</w:t>
      </w:r>
      <w:r>
        <w:t xml:space="preserve"> This Ninth Circuit case applies the "several degrees removed" standard from </w:t>
      </w:r>
      <w:r>
        <w:rPr>
          <w:i/>
        </w:rPr>
        <w:t>Alisal Water Corp.</w:t>
      </w:r>
      <w:r>
        <w:t xml:space="preserve"> to conclude that interests too remote from the core issues of the litigation do not constitute a significantly protectable interest for intervention.</w:t>
      </w:r>
    </w:p>
    <w:p>
      <w:pPr>
        <w:spacing w:before="0" w:after="0"/>
      </w:pPr>
      <w:r>
        <w:rPr>
          <w:b/>
        </w:rPr>
        <w:t>2. Sweet v. Cardona, 121 F.4th 32:</w:t>
      </w:r>
      <w:r>
        <w:t xml:space="preserve"> This recent Ninth Circuit decision utilizes </w:t>
      </w:r>
      <w:r>
        <w:rPr>
          <w:i/>
        </w:rPr>
        <w:t>Alisal Water Corp.</w:t>
      </w:r>
      <w:r>
        <w:t xml:space="preserve"> to evaluate the "significantly protectable interest" requirement, specifically determining that certain procedural interests are insufficient to mandate intervention as of right.</w:t>
      </w:r>
    </w:p>
    <w:p>
      <w:pPr>
        <w:spacing w:before="0" w:after="0"/>
      </w:pPr>
      <w:r>
        <w:rPr>
          <w:b/>
        </w:rPr>
        <w:t>3. Ministry of Defense v. Cubic Defense Systems, Inc., 385 F.3d 1206:</w:t>
      </w:r>
      <w:r>
        <w:t xml:space="preserve"> This case directly applies the holding in </w:t>
      </w:r>
      <w:r>
        <w:rPr>
          <w:i/>
        </w:rPr>
        <w:t>Alisal Water Corp.</w:t>
      </w:r>
      <w:r>
        <w:t xml:space="preserve"> to confirm that a mere economic interest in the collectability of a debt is insufficient to satisfy the requirements of Rule 24(a)(2) when unrelated to the underlying subject matter.</w:t>
      </w:r>
    </w:p>
    <w:p>
      <w:pPr>
        <w:spacing w:before="0" w:after="0"/>
      </w:pPr>
      <w:r>
        <w:rPr>
          <w:b/>
        </w:rPr>
        <w:t>4. Smith v. Los Angeles Unified School District, 830 F.3d 843:</w:t>
      </w:r>
      <w:r>
        <w:t xml:space="preserve"> This case provides a more recent and comprehensive Ninth Circuit analysis of the four-part intervention test and timeliness factors, while also emphasizing the circuit's liberal policy in favor of intervention.</w:t>
      </w:r>
    </w:p>
    <w:p>
      <w:pPr>
        <w:spacing w:before="0" w:after="0"/>
      </w:pPr>
      <w:r>
        <w:rPr>
          <w:b/>
        </w:rPr>
        <w:t>5. California ex rel. Lockyer v. United States, 450 F.3d 436:</w:t>
      </w:r>
      <w:r>
        <w:t xml:space="preserve"> This Ninth Circuit authority distinguishes </w:t>
      </w:r>
      <w:r>
        <w:rPr>
          <w:i/>
        </w:rPr>
        <w:t>Alisal Water Corp.</w:t>
      </w:r>
      <w:r>
        <w:t xml:space="preserve"> to clarify the "impairment" prong, specifically addressing whether the availability of "other means" to protect an interest prevents a finding of impairment.</w:t>
      </w:r>
    </w:p>
    <w:p>
      <w:r>
        <w:br w:type="page"/>
      </w:r>
    </w:p>
    <w:p>
      <w:pPr>
        <w:spacing w:before="0" w:after="0"/>
      </w:pPr>
      <w:r/>
      <w:hyperlink w:anchor="minorissues">
        <w:r>
          <w:rPr/>
          <w:t xml:space="preserve">↑ Triage</w:t>
        </w:r>
      </w:hyperlink>
    </w:p>
    <w:p>
      <w:pPr>
        <w:pStyle w:val="Heading3"/>
      </w:pPr>
      <w:r>
        <w:bookmarkStart w:id="26" w:name="arakakivcaye22"/>
        <w:bookmarkEnd w:id="26" w:name="arakakivcaye22"/>
      </w:r>
      <w:r>
        <w:t>Arakaki v. Cayetano 324 F.3d 1078</w:t>
      </w:r>
    </w:p>
    <w:p>
      <w:pPr>
        <w:spacing w:before="240" w:after="240"/>
      </w:pPr>
      <w:r>
        <w:rPr>
          <w:b/>
          <w:i/>
          <w:color w:val="3A0517"/>
        </w:rPr>
        <w:t>Use of Citation</w:t>
      </w:r>
      <w:r>
        <w:t xml:space="preserve"> 🟡</w:t>
      </w:r>
    </w:p>
    <w:p>
      <w:pPr>
        <w:spacing w:before="0" w:after="0"/>
      </w:pPr>
      <w:r>
        <w:t>Plaintiff's Opposition to Khalfani Rushiddin's Motion to Intervene cites Arakaki v. Cayetano to support the legal rule that a party seeking to intervene must demonstrate "adversity, collusion, or failure" to prove that their interests are inadequately represented by the existing parties (p. 5). This citation is used in the context of the Plaintiff's argument that the Movant's interests are already adequately represented by the Estate, as both parties share the "same ultimate objective" regarding the copyright claims (p. 5). The document interprets Arakaki as establishing the specific criteria necessary to show inadequate representation under Federal Rule of Civil Procedure 24(a)(2) (p. 5). The Plaintiff directly applies the legal concepts from Arakaki by arguing that the Movant has failed to identify any adversity, collusion, or failure on the part of the Estate, and that the Movant's strategic disagreements regarding estate administration do not satisfy the requirements for intervention (p. 5).</w:t>
      </w:r>
    </w:p>
    <w:p>
      <w:pPr>
        <w:spacing w:before="240" w:after="240"/>
      </w:pPr>
      <w:r>
        <w:rPr>
          <w:b/>
          <w:i/>
          <w:color w:val="3A0517"/>
        </w:rPr>
        <w:t>Accuracy Review</w:t>
      </w:r>
    </w:p>
    <w:p>
      <w:pPr>
        <w:spacing w:before="0" w:after="0"/>
      </w:pPr>
      <w:r>
        <w:t>The citation to Arakaki v. Cayetano in the Plaintiff's Opposition is a technical misapplication and an incomplete application of the case's legal framework. While the Plaintiff correctly identifies Arakaki as a controlling authority for the 'adequacy of representation' analysis and the 'same ultimate objective' presumption, it incorrectly attributes a specific three-part test ('adversity, collusion, or failure') to the case. Arakaki actually relies on the three Tahoe factors to assess adequacy. Furthermore, the citation is incomplete because it omits Arakaki's explicit instruction that the initial burden for showing inadequate representation is 'minimal' (satisfied if representation 'may be' inadequate), instead framing the requirement as a strict necessity to demonstrate specific negative conduct. This creates a higher procedural bar for the Movant than the Arakaki decision actually mandates, although the 'compelling showing' requirement for the 'same ultimate objective' presumption (which Arakaki does support) partially aligns with the Plaintiff's rigorous stance.</w:t>
      </w:r>
    </w:p>
    <w:p>
      <w:pPr>
        <w:spacing w:before="240" w:after="240"/>
      </w:pPr>
      <w:r>
        <w:rPr>
          <w:b/>
          <w:i/>
          <w:color w:val="3A0517"/>
        </w:rPr>
        <w:t>Applicable Negative Treatment</w:t>
      </w:r>
    </w:p>
    <w:p>
      <w:pPr>
        <w:spacing w:before="0" w:after="0"/>
      </w:pPr>
      <w:r>
        <w:rPr>
          <w:b/>
        </w:rPr>
        <w:t>1. Callahan v. Brookdale Senior Living Communities, 42 F.4th 1013:</w:t>
      </w:r>
      <w:r>
        <w:t xml:space="preserve"> The Ninth Circuit noted that the U.S. Supreme Court's decision in </w:t>
      </w:r>
      <w:r>
        <w:rPr>
          <w:i/>
        </w:rPr>
        <w:t>Berger v. North Carolina State Conference of the NAACP</w:t>
      </w:r>
      <w:r>
        <w:t xml:space="preserve">, 142 S. Ct. 2191 (2022), calls into question the appropriateness of applying the "same ultimate objective" presumption of adequate representation established in </w:t>
      </w:r>
      <w:r>
        <w:rPr>
          <w:i/>
        </w:rPr>
        <w:t>Arakaki</w:t>
      </w:r>
      <w:r>
        <w:t>. This limits the application of the presumption relied upon by the Plaintiff to argue that the Movant is adequately represented by the Estate.</w:t>
      </w:r>
    </w:p>
    <w:p>
      <w:pPr>
        <w:spacing w:before="0" w:after="0"/>
      </w:pPr>
      <w:r>
        <w:rPr>
          <w:b/>
        </w:rPr>
        <w:t>2. Friends of Oceano Dunes v. California Coastal Commission, 90 Cal.App.5th 836:</w:t>
      </w:r>
      <w:r>
        <w:t xml:space="preserve"> This court limited the application of </w:t>
      </w:r>
      <w:r>
        <w:rPr>
          <w:i/>
        </w:rPr>
        <w:t>Arakaki</w:t>
      </w:r>
      <w:r>
        <w:t>, noting that recent judicial developments have called into question the validity of the "same ultimate objective" presumption when evaluating the adequacy of representation in intervention cases.</w:t>
      </w:r>
    </w:p>
    <w:p>
      <w:pPr>
        <w:spacing w:before="240" w:after="240"/>
      </w:pPr>
      <w:r>
        <w:rPr>
          <w:b/>
          <w:i/>
          <w:color w:val="3A0517"/>
        </w:rPr>
        <w:t>Other Relevant Precedence</w:t>
      </w:r>
    </w:p>
    <w:p>
      <w:pPr>
        <w:spacing w:before="0" w:after="0"/>
      </w:pPr>
      <w:r>
        <w:rPr>
          <w:b/>
        </w:rPr>
        <w:t>1. Callahan v. Brookdale Senior Living Communities, 42 F.4th 1013:</w:t>
      </w:r>
      <w:r>
        <w:t xml:space="preserve"> This 2022 Ninth Circuit case is the most recent authority on the adequacy of representation prong, specifically discussing how the </w:t>
      </w:r>
      <w:r>
        <w:rPr>
          <w:i/>
        </w:rPr>
        <w:t>Arakaki</w:t>
      </w:r>
      <w:r>
        <w:t xml:space="preserve"> presumption of adequacy may be affected by recent Supreme Court developments.</w:t>
      </w:r>
    </w:p>
    <w:p>
      <w:pPr>
        <w:spacing w:before="0" w:after="0"/>
      </w:pPr>
      <w:r>
        <w:rPr>
          <w:b/>
        </w:rPr>
        <w:t>2. Perry v. Proposition 8 Official Proponents, 587 F.3d 947:</w:t>
      </w:r>
      <w:r>
        <w:t xml:space="preserve"> This Ninth Circuit case is a primary authority for the "compelling showing" required to rebut the presumption of adequacy established in </w:t>
      </w:r>
      <w:r>
        <w:rPr>
          <w:i/>
        </w:rPr>
        <w:t>Arakaki</w:t>
      </w:r>
      <w:r>
        <w:t xml:space="preserve"> and is frequently cited for the specific factors used to assess that rebuttal.</w:t>
      </w:r>
    </w:p>
    <w:p>
      <w:pPr>
        <w:spacing w:before="0" w:after="0"/>
      </w:pPr>
      <w:r>
        <w:rPr>
          <w:b/>
        </w:rPr>
        <w:t>3. Citizens for Balanced Use v. Montana Wilderness Ass'n, 647 F.3d 893:</w:t>
      </w:r>
      <w:r>
        <w:t xml:space="preserve"> This Ninth Circuit case provides a clear application of the </w:t>
      </w:r>
      <w:r>
        <w:rPr>
          <w:i/>
        </w:rPr>
        <w:t>Arakaki</w:t>
      </w:r>
      <w:r>
        <w:t xml:space="preserve"> standards, balancing the "minimal" burden of showing inadequacy against the "compelling showing" required when parties share the same ultimate objective.</w:t>
      </w:r>
    </w:p>
    <w:p>
      <w:pPr>
        <w:spacing w:before="0" w:after="0"/>
      </w:pPr>
      <w:r>
        <w:rPr>
          <w:b/>
        </w:rPr>
        <w:t>4. California ex rel. Lockyer v. United States, 450 F.3d 436:</w:t>
      </w:r>
      <w:r>
        <w:t xml:space="preserve"> This Ninth Circuit case is a key precedent for applying the </w:t>
      </w:r>
      <w:r>
        <w:rPr>
          <w:i/>
        </w:rPr>
        <w:t>Arakaki</w:t>
      </w:r>
      <w:r>
        <w:t xml:space="preserve"> presumption of adequacy when a proposed intervenor and an existing party share the same litigation goals.</w:t>
      </w:r>
    </w:p>
    <w:p>
      <w:pPr>
        <w:spacing w:before="0" w:after="0"/>
      </w:pPr>
      <w:r>
        <w:rPr>
          <w:b/>
        </w:rPr>
        <w:t>5. Prete v. Bradbury, 438 F.3d 949:</w:t>
      </w:r>
      <w:r>
        <w:t xml:space="preserve"> This Ninth Circuit case reinforces the </w:t>
      </w:r>
      <w:r>
        <w:rPr>
          <w:i/>
        </w:rPr>
        <w:t>Arakaki</w:t>
      </w:r>
      <w:r>
        <w:t xml:space="preserve"> rule regarding the presumption of adequate representation, particularly in cases involving government defendants or shared ultimate objectives.</w:t>
      </w:r>
    </w:p>
    <w:p>
      <w:r>
        <w:br w:type="page"/>
      </w:r>
    </w:p>
    <w:p>
      <w:pPr>
        <w:spacing w:before="0" w:after="0"/>
      </w:pPr>
      <w:r/>
      <w:hyperlink w:anchor="accurate">
        <w:r>
          <w:rPr/>
          <w:t xml:space="preserve">↑ Triage</w:t>
        </w:r>
      </w:hyperlink>
    </w:p>
    <w:p>
      <w:pPr>
        <w:pStyle w:val="Heading3"/>
      </w:pPr>
      <w:r>
        <w:bookmarkStart w:id="27" w:name="pretevbradbu23"/>
        <w:bookmarkEnd w:id="27" w:name="pretevbradbu23"/>
      </w:r>
      <w:r>
        <w:t>Prete v. Bradbury 438 F.3d 949</w:t>
      </w:r>
    </w:p>
    <w:p>
      <w:pPr>
        <w:spacing w:before="240" w:after="240"/>
      </w:pPr>
      <w:r>
        <w:rPr>
          <w:b/>
          <w:i/>
          <w:color w:val="3A0517"/>
        </w:rPr>
        <w:t>Use of Citation</w:t>
      </w:r>
      <w:r>
        <w:t xml:space="preserve"> 🟢</w:t>
      </w:r>
    </w:p>
    <w:p>
      <w:pPr>
        <w:spacing w:before="0" w:after="0"/>
      </w:pPr>
      <w:r>
        <w:t>Plaintiff's Opposition to Khalfani Rushiddin's Motion to Intervene cites Prete v. Bradbury to establish the mandatory legal requirements for a party seeking to intervene in a federal action as a matter of right under Federal Rule of Civil Procedure 24(a)(2) (p. 3). Specifically, the document cites the case for the rule that a movant must demonstrate four distinct elements: (1) timeliness; (2) a significantly protectable interest; (3) impairment of that interest absent intervention; and (4) inadequate representation (p. 3). In the context of this litigation, the citation serves as the foundational legal standard for the court to evaluate whether Khalfani Rushiddin, the decedent's biological son, has a legal right to join the copyright infringement lawsuit initiated by the Estate (p. 3). The document interprets Prete v. Bradbury as the controlling Ninth Circuit authority defining the 'Intervention as of Right' criteria (p. 3). The legal concepts from Prete v. Bradbury are directly applied throughout the Argument section of the opposition, where the Plaintiff systematically argues that the Movant fails to satisfy each of the four prongs identified in the cited case, such as by asserting the motion is untimely and that the Movant lacks a legally protectable interest in the copyrights (pp. 3-5).</w:t>
      </w:r>
    </w:p>
    <w:p>
      <w:pPr>
        <w:spacing w:before="240" w:after="240"/>
      </w:pPr>
      <w:r>
        <w:rPr>
          <w:b/>
          <w:i/>
          <w:color w:val="3A0517"/>
        </w:rPr>
        <w:t>Accuracy Review</w:t>
      </w:r>
    </w:p>
    <w:p>
      <w:pPr>
        <w:spacing w:before="0" w:after="0"/>
      </w:pPr>
      <w:r>
        <w:t>The citation to Prete v. Bradbury is highly accurate and appropriate. The Plaintiff correctly identifies Prete as a controlling Ninth Circuit authority for the four-part conjunctive test required for intervention as of right under Fed. R. Civ. P. 24(a)(2). There is no technical misapplication or contextual overextension, as the test is a procedural standard applicable to all federal intervention motions within the circuit. The opposition's subsequent arguments—specifically regarding the Movant's lack of a 'significantly protectable interest' and the 'adequate representation' by the Estate—directly mirror the analysis performed by the Ninth Circuit in Prete. While the opposition uses other citations to support the 'ultimate objective' presumption, this is consistent with Prete's own reliance on that doctrine. The citation reaches conclusions consistent with the original decision's emphasis on the high burden placed on intervenors who share the same goals as existing parties, particularly when the existing party is a court-recognized representative (similar to the government's role in Prete).</w:t>
      </w:r>
    </w:p>
    <w:p>
      <w:pPr>
        <w:spacing w:before="240" w:after="240"/>
      </w:pPr>
      <w:r>
        <w:rPr>
          <w:b/>
          <w:i/>
          <w:color w:val="3A0517"/>
        </w:rPr>
        <w:t>Other Relevant Precedence</w:t>
      </w:r>
    </w:p>
    <w:p>
      <w:pPr>
        <w:spacing w:before="0" w:after="0"/>
      </w:pPr>
      <w:r>
        <w:rPr>
          <w:b/>
        </w:rPr>
        <w:t>1. Citizens for Balanced Use v. Montana Wilderness Ass'n, 647 F.3d 893:</w:t>
      </w:r>
      <w:r>
        <w:t xml:space="preserve"> This Ninth Circuit case cites </w:t>
      </w:r>
      <w:r>
        <w:rPr>
          <w:i/>
        </w:rPr>
        <w:t>Prete</w:t>
      </w:r>
      <w:r>
        <w:t xml:space="preserve"> to establish the four-part test for intervention as of right and emphasizes the circuit's policy that the requirements are broadly interpreted in favor of intervention.</w:t>
      </w:r>
    </w:p>
    <w:p>
      <w:pPr>
        <w:spacing w:before="0" w:after="0"/>
      </w:pPr>
      <w:r>
        <w:rPr>
          <w:b/>
        </w:rPr>
        <w:t>2. Perry v. Proposition 8 Official Proponents, 587 F.3d 947:</w:t>
      </w:r>
      <w:r>
        <w:t xml:space="preserve"> This case is highly on-point for the "same ultimate objective" presumption of adequacy of representation discussed in the document, citing </w:t>
      </w:r>
      <w:r>
        <w:rPr>
          <w:i/>
        </w:rPr>
        <w:t>Prete</w:t>
      </w:r>
      <w:r>
        <w:t xml:space="preserve"> to show that a presumption of adequacy arises when the intervenor and an existing party share the same goal.</w:t>
      </w:r>
    </w:p>
    <w:p>
      <w:pPr>
        <w:spacing w:before="0" w:after="0"/>
      </w:pPr>
      <w:r>
        <w:rPr>
          <w:b/>
        </w:rPr>
        <w:t>3. Oakland Bulk &amp; Oversized v. City of Oakland, 960 F.3d 603:</w:t>
      </w:r>
      <w:r>
        <w:t xml:space="preserve"> A more recent Ninth Circuit authority that cites </w:t>
      </w:r>
      <w:r>
        <w:rPr>
          <w:i/>
        </w:rPr>
        <w:t>Prete</w:t>
      </w:r>
      <w:r>
        <w:t xml:space="preserve"> to reinforce the "very compelling showing" required to rebut the presumption of adequate representation when a representative entity is already acting on behalf of the intervenor's interests.</w:t>
      </w:r>
    </w:p>
    <w:p>
      <w:pPr>
        <w:spacing w:before="0" w:after="0"/>
      </w:pPr>
      <w:r>
        <w:rPr>
          <w:b/>
        </w:rPr>
        <w:t>4. Freedom From Religion Foundation, Inc. v. Geithner, 644 F.3d 836:</w:t>
      </w:r>
      <w:r>
        <w:t xml:space="preserve"> This case cites </w:t>
      </w:r>
      <w:r>
        <w:rPr>
          <w:i/>
        </w:rPr>
        <w:t>Prete</w:t>
      </w:r>
      <w:r>
        <w:t xml:space="preserve"> to clarify that the applicant seeking intervention bears the burden of demonstrating that all four requirements of Rule 24(a)(2) are met, supporting the Plaintiff's systematic attack on the Movant's failure to meet these prongs.</w:t>
      </w:r>
    </w:p>
    <w:p>
      <w:pPr>
        <w:spacing w:before="0" w:after="0"/>
      </w:pPr>
      <w:r>
        <w:rPr>
          <w:b/>
        </w:rPr>
        <w:t>5. California ex rel. Lockyer v. United States, 450 F.3d 436:</w:t>
      </w:r>
      <w:r>
        <w:t xml:space="preserve"> Cited within the document itself and the provided brief, this case relies on </w:t>
      </w:r>
      <w:r>
        <w:rPr>
          <w:i/>
        </w:rPr>
        <w:t>Prete</w:t>
      </w:r>
      <w:r>
        <w:t xml:space="preserve"> to analyze the impairment of interest and adequacy of representation prongs, particularly regarding how a representative's litigation strategy affects a proposed intervenor.</w:t>
      </w:r>
    </w:p>
    <w:p>
      <w:r>
        <w:br w:type="page"/>
      </w:r>
    </w:p>
    <w:p>
      <w:pPr>
        <w:spacing w:before="0" w:after="0"/>
      </w:pPr>
      <w:r/>
      <w:hyperlink w:anchor="accurate">
        <w:r>
          <w:rPr/>
          <w:t xml:space="preserve">↑ Triage</w:t>
        </w:r>
      </w:hyperlink>
    </w:p>
    <w:p>
      <w:pPr>
        <w:pStyle w:val="Heading3"/>
      </w:pPr>
      <w:r>
        <w:bookmarkStart w:id="28" w:name="scaledisonco24"/>
        <w:bookmarkEnd w:id="28" w:name="scaledisonco24"/>
      </w:r>
      <w:r>
        <w:t>S. Cal. Edison Co. v. Lynch 307 F.3d 794</w:t>
      </w:r>
    </w:p>
    <w:p>
      <w:pPr>
        <w:spacing w:before="240" w:after="240"/>
      </w:pPr>
      <w:r>
        <w:rPr>
          <w:b/>
          <w:i/>
          <w:color w:val="3A0517"/>
        </w:rPr>
        <w:t>Use of Citation</w:t>
      </w:r>
      <w:r>
        <w:t xml:space="preserve"> 🟢</w:t>
      </w:r>
    </w:p>
    <w:p>
      <w:pPr>
        <w:spacing w:before="0" w:after="240"/>
      </w:pPr>
      <w:r>
        <w:t>Plaintiff's Opposition to Khalfani Rushiddin's Motion to Intervene cites S. Cal. Edison Co. v. Lynch to define the criteria for permissive intervention under Federal Rule of Civil Procedure 24(b) (p. 3).</w:t>
      </w:r>
    </w:p>
    <w:p>
      <w:pPr>
        <w:pStyle w:val="ListBullet"/>
      </w:pPr>
      <w:r>
        <w:t>LEGAL RULES: The case is cited to support the rule that permissive intervention requires a "common question of law or fact" and a demonstration that the "intervention will not cause undue delay or prejudice" (p. 3).</w:t>
      </w:r>
    </w:p>
    <w:p>
      <w:pPr>
        <w:pStyle w:val="ListBullet"/>
      </w:pPr>
      <w:r>
        <w:t>CONTEXT: The citation appears in the "LEGAL STANDARD" section (Section III.B) to outline the requirements the court must consider regarding Khalfani Rushiddin's Motion to Intervene (p. 3). This is central to the Plaintiff's argument that the Movant's attempt to join the case is legally insufficient (p. 2).</w:t>
      </w:r>
    </w:p>
    <w:p>
      <w:pPr>
        <w:pStyle w:val="ListBullet"/>
      </w:pPr>
      <w:r>
        <w:t>INTERPRETATION: The document interprets S. Cal. Edison Co. v. Lynch as providing the definitive Ninth Circuit standard for Rule 24(b), emphasizing that the court must weigh the commonality of issues against the potential for litigation delay (p. 3).</w:t>
      </w:r>
    </w:p>
    <w:p>
      <w:pPr>
        <w:pStyle w:val="ListBullet"/>
      </w:pPr>
      <w:r>
        <w:t>APPLICATION: The document directly applies the legal concepts from S. Cal. Edison Co. v. Lynch by arguing in Section IV.F that the Movant's intervention would introduce "unrelated" probate issues, thereby failing the "common question" requirement and threatening the "efficiency of the litigation" (p. 5).</w:t>
      </w:r>
    </w:p>
    <w:p>
      <w:pPr>
        <w:spacing w:before="240" w:after="240"/>
      </w:pPr>
      <w:r>
        <w:rPr>
          <w:b/>
          <w:i/>
          <w:color w:val="3A0517"/>
        </w:rPr>
        <w:t>Accuracy Review</w:t>
      </w:r>
    </w:p>
    <w:p>
      <w:pPr>
        <w:spacing w:before="0" w:after="0"/>
      </w:pPr>
      <w:r>
        <w:t>The citation to S. Cal. Edison Co. v. Lynch is an accurate application of Ninth Circuit law. The Opposition correctly identifies the core principle from Lynch: that permissive intervention requires a common question of law or fact and must not cause undue delay or prejudice. More importantly, the Opposition's application of the case in Section IV.F aligns perfectly with the reasoning in Lynch. Just as the Ninth Circuit in Lynch found that debt recovery claims were 'sufficiently different' from the underlying preemption litigation to warrant denial, the Plaintiff here argues that the Movant's probate and heirship disputes are 'unrelated' to the copyright claims. The Opposition's warning that intervention would 'expand the scope of litigation improperly' mirrors the Lynch court's caution that intervention should not be used to create 'whole new lawsuits.' While the Opposition's summary of the 'Legal Standard' in Section III.B omits the 'independent grounds for jurisdiction' prong mentioned in Lynch, this is a minor technical omission that does not detract from the substantive legal application, as the court's discretion to deny intervention based on a lack of commonality is the primary point of contention.</w:t>
      </w:r>
    </w:p>
    <w:p>
      <w:pPr>
        <w:spacing w:before="240" w:after="240"/>
      </w:pPr>
      <w:r>
        <w:rPr>
          <w:b/>
          <w:i/>
          <w:color w:val="3A0517"/>
        </w:rPr>
        <w:t>Other Relevant Precedence</w:t>
      </w:r>
    </w:p>
    <w:p>
      <w:pPr>
        <w:spacing w:before="0" w:after="0"/>
      </w:pPr>
      <w:r>
        <w:rPr>
          <w:b/>
        </w:rPr>
        <w:t>1. In re Estate of Ferdinand E. Marcos Human Rights Litigation, 536 F.3d 980:</w:t>
      </w:r>
      <w:r>
        <w:t xml:space="preserve"> This Ninth Circuit case is a direct jurisdictional match that applies the Rule 24 intervention standards specifically within the context of litigation involving a decedent's estate, making it more factually analogous to the current matter than the utility-rate focus of </w:t>
      </w:r>
      <w:r>
        <w:rPr>
          <w:i/>
        </w:rPr>
        <w:t>S. Cal. Edison Co. v. Lynch</w:t>
      </w:r>
      <w:r>
        <w:t>.</w:t>
      </w:r>
    </w:p>
    <w:p>
      <w:pPr>
        <w:spacing w:before="0" w:after="0"/>
      </w:pPr>
      <w:r>
        <w:rPr>
          <w:b/>
        </w:rPr>
        <w:t>2. United States v. Alisal Water Corp., 370 F.3d 915:</w:t>
      </w:r>
      <w:r>
        <w:t xml:space="preserve"> This Ninth Circuit case provides a more comprehensive refinement of the "significantly protectable interest" requirement, specifically clarifying that economic interests must be concrete and directly related to the litigation's subject matter to justify intervention, which is highly relevant to the Plaintiff's challenge of the Movant's biological and heirship claims.</w:t>
      </w:r>
    </w:p>
    <w:p>
      <w:pPr>
        <w:spacing w:before="0" w:after="0"/>
      </w:pPr>
      <w:r>
        <w:rPr>
          <w:b/>
        </w:rPr>
        <w:t>3. Hilao v. Estate of Marcos, 393 F.3d 987:</w:t>
      </w:r>
      <w:r>
        <w:t xml:space="preserve"> This Ninth Circuit case involves litigation against an estate and cites </w:t>
      </w:r>
      <w:r>
        <w:rPr>
          <w:i/>
        </w:rPr>
        <w:t>Lynch</w:t>
      </w:r>
      <w:r>
        <w:t xml:space="preserve"> regarding the participation of non-parties, providing additional context for how courts in this jurisdiction handle the interests of non-party claimants in estate-related matters.</w:t>
      </w:r>
    </w:p>
    <w:p>
      <w:r>
        <w:br w:type="page"/>
      </w:r>
    </w:p>
    <w:p>
      <w:pPr>
        <w:spacing w:before="0" w:after="0"/>
      </w:pPr>
      <w:r/>
      <w:hyperlink w:anchor="accurate">
        <w:r>
          <w:rPr/>
          <w:t xml:space="preserve">↑ Triage</w:t>
        </w:r>
      </w:hyperlink>
    </w:p>
    <w:p>
      <w:pPr>
        <w:pStyle w:val="Heading3"/>
      </w:pPr>
      <w:r>
        <w:bookmarkStart w:id="29" w:name="perryvpropos25"/>
        <w:bookmarkEnd w:id="29" w:name="perryvpropos25"/>
      </w:r>
      <w:r>
        <w:t>Perry v. Proposition 8 587 F.3d 947</w:t>
      </w:r>
    </w:p>
    <w:p>
      <w:pPr>
        <w:spacing w:before="240" w:after="240"/>
      </w:pPr>
      <w:r>
        <w:rPr>
          <w:b/>
          <w:i/>
          <w:color w:val="3A0517"/>
        </w:rPr>
        <w:t>Use of Citation</w:t>
      </w:r>
      <w:r>
        <w:t xml:space="preserve"> 🟢</w:t>
      </w:r>
    </w:p>
    <w:p>
      <w:pPr>
        <w:spacing w:before="0" w:after="0"/>
      </w:pPr>
      <w:r>
        <w:t>Plaintiff's Opposition to Khalfani Rushiddin's Motion to Intervene cites Perry v. Proposition 8 to support the legal rule that strategic disagreements between an existing party and a proposed intervenor do not justify intervention (p. 5). The citation appears in the context of the Plaintiff's argument that the Movant's interests are already adequately represented by the Estate's administrator under the standards of Rule 24(a)(2) (p. 5). The document interprets the legal reasoning in Perry v. Proposition 8 to mean that a movant must demonstrate more than a mere difference in litigation strategy to prove inadequate representation (p. 5). The Plaintiff applies this concept by arguing that the Movant's dispute is centered on the administration of the estate rather than the copyright claims themselves, and therefore, any strategic disagreements he may have with the Estate's handling of the case are insufficient to permit intervention (p. 5).</w:t>
      </w:r>
    </w:p>
    <w:p>
      <w:pPr>
        <w:spacing w:before="240" w:after="240"/>
      </w:pPr>
      <w:r>
        <w:rPr>
          <w:b/>
          <w:i/>
          <w:color w:val="3A0517"/>
        </w:rPr>
        <w:t>Accuracy Review</w:t>
      </w:r>
    </w:p>
    <w:p>
      <w:pPr>
        <w:spacing w:before="0" w:after="0"/>
      </w:pPr>
      <w:r>
        <w:t>The citation to Perry v. Proposition 8 is an accurate application of Ninth Circuit law regarding intervention as of right. The Plaintiff correctly identifies the legal principle that strategic or tactical disagreements between a proposed intervenor and an existing party do not satisfy the "inadequate representation" requirement of Rule 24(a)(2) when the parties share the same ultimate goal. In this case, the "ultimate objective" is the successful prosecution of copyright infringement claims to protect the decedent's intellectual property. By citing Perry, the Plaintiff effectively argues that even if Khalfani Rushiddin (the Movant) disagrees with how the Administrator is conducting the litigation, such disagreement is a matter of strategy rather than a divergence of interest. The application is contextually appropriate because it addresses the specific prong of the intervention test (adequacy of representation) where the Movant's status as an heir likely aligns his financial interests with the Estate's success in the lawsuit, thereby triggering the presumption of adequacy discussed in Perry.</w:t>
      </w:r>
    </w:p>
    <w:p>
      <w:pPr>
        <w:spacing w:before="240" w:after="240"/>
      </w:pPr>
      <w:r>
        <w:rPr>
          <w:b/>
          <w:i/>
          <w:color w:val="3A0517"/>
        </w:rPr>
        <w:t>Other Relevant Precedence</w:t>
      </w:r>
    </w:p>
    <w:p>
      <w:pPr>
        <w:spacing w:before="0" w:after="0"/>
      </w:pPr>
      <w:r>
        <w:rPr>
          <w:b/>
        </w:rPr>
        <w:t>1. Freedom From Religion Foundation, Inc. v. Geithner, 644 F.3d 836:</w:t>
      </w:r>
      <w:r>
        <w:t xml:space="preserve"> This Ninth Circuit case provides a more recent summary of the standards established in </w:t>
      </w:r>
      <w:r>
        <w:rPr>
          <w:i/>
        </w:rPr>
        <w:t>Perry</w:t>
      </w:r>
      <w:r>
        <w:t>, specifically reinforcing the presumption of adequate representation when parties share an "ultimate objective" and the "compelling showing" required to rebut that presumption.</w:t>
      </w:r>
    </w:p>
    <w:p>
      <w:pPr>
        <w:spacing w:before="0" w:after="0"/>
      </w:pPr>
      <w:r>
        <w:rPr>
          <w:b/>
        </w:rPr>
        <w:t>2. Department of Fair Employment v. Lucent Technologies, 642 F.3d 728:</w:t>
      </w:r>
      <w:r>
        <w:t xml:space="preserve"> This case is highly on-point as it specifically applies the </w:t>
      </w:r>
      <w:r>
        <w:rPr>
          <w:i/>
        </w:rPr>
        <w:t>Perry</w:t>
      </w:r>
      <w:r>
        <w:t xml:space="preserve"> principle that mere differences in litigation strategy between a proposed intervenor and an existing party are insufficient to justify intervention as a matter of right under Rule 24(a)(2).</w:t>
      </w:r>
    </w:p>
    <w:p>
      <w:pPr>
        <w:spacing w:before="0" w:after="0"/>
      </w:pPr>
      <w:r>
        <w:rPr>
          <w:b/>
        </w:rPr>
        <w:t>3. Cooper v. Newsom, 13 F.4th 857:</w:t>
      </w:r>
      <w:r>
        <w:t xml:space="preserve"> As a more recent 2021 Ninth Circuit decision, this case confirms the strict application of the four-part intervention test and the rule that failure to satisfy any single requirement—such as adequate representation—is fatal to the motion.</w:t>
      </w:r>
    </w:p>
    <w:p>
      <w:r>
        <w:br w:type="page"/>
      </w:r>
    </w:p>
    <w:p>
      <w:pPr>
        <w:spacing w:before="0" w:after="0"/>
      </w:pPr>
      <w:r/>
      <w:hyperlink w:anchor="unavailable">
        <w:r>
          <w:rPr/>
          <w:t xml:space="preserve">↑ Triage</w:t>
        </w:r>
      </w:hyperlink>
    </w:p>
    <w:p>
      <w:pPr>
        <w:pStyle w:val="Heading3"/>
      </w:pPr>
      <w:r>
        <w:bookmarkStart w:id="30" w:name="washingtonst26"/>
        <w:bookmarkEnd w:id="30" w:name="washingtonst26"/>
      </w:r>
      <w:r>
        <w:t>Washington State Bldg. &amp; Constr. Trades Council v. Spellman 684 F.2d 627</w:t>
      </w:r>
    </w:p>
    <w:p>
      <w:pPr>
        <w:spacing w:before="240" w:after="240"/>
      </w:pPr>
      <w:r>
        <w:rPr>
          <w:b/>
          <w:i/>
          <w:color w:val="3A0517"/>
        </w:rPr>
        <w:t>Use of Citation</w:t>
      </w:r>
      <w:r>
        <w:t xml:space="preserve"> ⚪</w:t>
      </w:r>
    </w:p>
    <w:p>
      <w:pPr>
        <w:spacing w:before="0" w:after="0"/>
      </w:pPr>
      <w:r>
        <w:t>Plaintiff's Opposition to Khalfani Rushiddin's Motion to Intervene cites Washington State Bldg. &amp; Constr. Trades Council v. Spellman to support the legal rule that courts should deny permissive intervention when the intervention "introduces unrelated issues" (p. 5). The citation occurs within the context of the Plaintiff's argument that the Movant, Khalfani Rushiddin, is improperly attempting to inject probate and heirship disputes into a federal copyright infringement action (p. 5). The document interprets the legal reasoning from Spellman as a basis for prioritizing the efficiency of litigation and preventing the expansion of a case's scope into matters not central to the original claims (p. 5). The Plaintiff directly applies this concept by asserting that because the Movant's probate-related concerns are "unrelated to copyright infringement," the court should exercise its discretion to deny permissive intervention under Rule 24(b) (p. 5).</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31" w:name="moorevverizo27"/>
        <w:bookmarkEnd w:id="31" w:name="moorevverizo27"/>
      </w:r>
      <w:r>
        <w:t>Moore v. Verizon Commc’ns Inc. 2013 WL 3450365</w:t>
      </w:r>
    </w:p>
    <w:p>
      <w:pPr>
        <w:spacing w:before="240" w:after="240"/>
      </w:pPr>
      <w:r>
        <w:rPr>
          <w:b/>
          <w:i/>
          <w:color w:val="3A0517"/>
        </w:rPr>
        <w:t>Use of Citation</w:t>
      </w:r>
      <w:r>
        <w:t xml:space="preserve"> ⚪</w:t>
      </w:r>
    </w:p>
    <w:p>
      <w:pPr>
        <w:spacing w:before="0" w:after="0"/>
      </w:pPr>
      <w:r>
        <w:t>Plaintiff's Opposition to Khalfani Rushiddin's Motion to Intervene cites Moore v. Verizon Commc’ns Inc. to support the legal proposition that "Courts deny intervention where alternate remedies exist" (p. 4). This citation is situated within the Plaintiff's argument that the Movant, Khalfani Rushiddin, will not suffer legal impairment of his interests if denied intervention under Rule 24(a)(2) (p. 4). The context of the citation relates to the distinction between the federal copyright infringement claims at issue in this case and the Movant's personal claims regarding heirship and probate (p. 4). The Plaintiff interprets the legal reasoning in Moore to mean that intervention is unnecessary when a party has the ability to protect their interests through independent legal avenues (p. 4). The document applies this concept by asserting that the Movant "may pursue heirship or probate remedies independently" in the Probate Court of the State of Nevada, using Moore as a direct example of why intervention should be denied when such alternate remedies are available (p. 4).</w:t>
      </w:r>
    </w:p>
    <w:p>
      <w:pPr>
        <w:spacing w:before="240" w:after="240"/>
      </w:pPr>
      <w:r>
        <w:rPr>
          <w:b/>
          <w:i/>
          <w:color w:val="3A0517"/>
        </w:rPr>
        <w:t>Accuracy Review</w:t>
      </w:r>
    </w:p>
    <w:p>
      <w:pPr>
        <w:spacing w:before="0" w:after="0"/>
      </w:pPr>
      <w:r>
        <w:t>Accuracy Review is not available for this rating level. The citation is likely not in error or a hallucination.</w:t>
      </w:r>
    </w:p>
    <w:p>
      <w:pPr>
        <w:spacing w:before="0" w:after="0"/>
      </w:pPr>
      <w:r/>
      <w:hyperlink w:anchor="unavailable">
        <w:r>
          <w:rPr/>
          <w:t xml:space="preserve">↑ Triage</w:t>
        </w:r>
      </w:hyperlink>
    </w:p>
    <w:p>
      <w:pPr>
        <w:pStyle w:val="Heading3"/>
      </w:pPr>
      <w:r>
        <w:bookmarkStart w:id="32" w:name="inreestateof28"/>
        <w:bookmarkEnd w:id="32" w:name="inreestateof28"/>
      </w:r>
      <w:r>
        <w:t>In re Estate of Prince Rogers Nelson 2018 WL 4859737</w:t>
      </w:r>
    </w:p>
    <w:p>
      <w:pPr>
        <w:spacing w:before="240" w:after="240"/>
      </w:pPr>
      <w:r>
        <w:rPr>
          <w:b/>
          <w:i/>
          <w:color w:val="3A0517"/>
        </w:rPr>
        <w:t>Use of Citation</w:t>
      </w:r>
      <w:r>
        <w:t xml:space="preserve"> ⚪</w:t>
      </w:r>
    </w:p>
    <w:p>
      <w:pPr>
        <w:spacing w:before="0" w:after="0"/>
      </w:pPr>
      <w:r>
        <w:t>Plaintiff's Opposition to Khalfani Rushiddin's Motion to Intervene cites In re Estate of Prince Rogers Nelson to support the legal rule that a significantly protectable interest required for intervention must be based on legal title rather than mere potential heirship (p. 4). In the context of Section IV.C, "Movant Lacks a Significantly Protectable Interest," the Plaintiff argues that Khalfani Rushiddin's claim is insufficient because it is based "solely on biological lineage" rather than ownership of the copyrights (p. 4). The document interprets In re Estate of Prince Rogers Nelson as a case that "denied intervention where movants lacked legal title" (p. 4). The Plaintiff employs analogical reasoning by comparing the Movant's situation to the movants in the Nelson case; since Khalfani "owns no copyrights" and provides no legal assignments, his interest is deemed derivative or collateral rather than "direct, non-contingent, substantial, and legally protectable" (p. 4). The document uses In re Estate of Prince Rogers Nelson as a specific example of a court rejecting intervention claims from individuals who lack formal legal title to estate property (p. 4).</w:t>
      </w:r>
    </w:p>
    <w:p>
      <w:pPr>
        <w:spacing w:before="240" w:after="240"/>
      </w:pPr>
      <w:r>
        <w:rPr>
          <w:b/>
          <w:i/>
          <w:color w:val="3A0517"/>
        </w:rPr>
        <w:t>Accuracy Review</w:t>
      </w:r>
    </w:p>
    <w:p>
      <w:pPr>
        <w:spacing w:before="0" w:after="0"/>
      </w:pPr>
      <w:r>
        <w:t>Accuracy Review is not available for this rating level. The citation is likely not in error or a hallucination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Times New Roman" w:eastAsiaTheme="majorEastAsia" w:hAnsiTheme="majorHAnsi" w:cstheme="majorBidi" w:ascii="Times New Roman" w:hAnsi="Times New Roman"/>
      <w:b/>
      <w:bCs/>
      <w:color w:val="3A051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Times New Roman" w:eastAsiaTheme="majorEastAsia" w:hAnsiTheme="majorHAnsi" w:cstheme="majorBidi" w:ascii="Times New Roman" w:hAnsi="Times New Roman"/>
      <w:b/>
      <w:bCs/>
      <w:color w:val="3A051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Times New Roman" w:eastAsiaTheme="majorEastAsia" w:hAnsiTheme="majorHAnsi" w:cstheme="majorBidi" w:ascii="Times New Roman" w:hAnsi="Times New Roman"/>
      <w:b/>
      <w:bCs/>
      <w:color w:val="3A0517"/>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Times New Roman" w:eastAsiaTheme="majorEastAsia" w:hAnsiTheme="majorHAnsi" w:cstheme="majorBidi" w:ascii="Times New Roman" w:hAnsi="Times New Roman"/>
      <w:b/>
      <w:bCs/>
      <w:i/>
      <w:iCs/>
      <w:color w:val="3A0517"/>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Times New Roman" w:eastAsiaTheme="majorEastAsia" w:hAnsiTheme="majorHAnsi" w:cstheme="majorBidi" w:ascii="Times New Roman" w:hAnsi="Times New Roman"/>
      <w:color w:val="3A0517"/>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Times New Roman" w:eastAsiaTheme="majorEastAsia" w:hAnsiTheme="majorHAnsi" w:cstheme="majorBidi" w:ascii="Times New Roman" w:hAnsi="Times New Roman"/>
      <w:i/>
      <w:iCs/>
      <w:color w:val="3A0517"/>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ind w:left="720" w:right="720"/>
      <w:jc w:val="both"/>
    </w:pPr>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OpineTitle">
    <w:name w:val="Opine Title"/>
    <w:pPr>
      <w:spacing w:before="0"/>
    </w:pPr>
    <w:rPr>
      <w:rFonts w:ascii="Times New Roman" w:hAnsi="Times New Roman"/>
      <w:color w:val="3A0517"/>
      <w:sz w:val="32"/>
    </w:rPr>
  </w:style>
  <w:style w:type="paragraph" w:customStyle="1" w:styleId="OpineSubtitle">
    <w:name w:val="Opine Subtitle"/>
    <w:pPr>
      <w:spacing w:after="0" w:before="160"/>
    </w:pPr>
    <w:rPr>
      <w:rFonts w:ascii="Times New Roman" w:hAnsi="Times New Roman"/>
      <w:i/>
      <w:color w:val="3A0517"/>
      <w:sz w:val="32"/>
    </w:rPr>
  </w:style>
  <w:style w:type="paragraph" w:customStyle="1" w:styleId="TriageReport">
    <w:name w:val="Triage Report"/>
    <w:pPr>
      <w:spacing w:after="0" w:before="0"/>
      <w:jc w:val="center"/>
    </w:pPr>
    <w:rPr>
      <w:rFonts w:ascii="Times New Roman" w:hAnsi="Times New Roman"/>
      <w:color w:val="3A0517"/>
      <w:sz w:val="32"/>
    </w:rPr>
  </w:style>
  <w:style w:type="paragraph" w:customStyle="1" w:styleId="SmallCapsHeading">
    <w:name w:val="SmallCaps Heading"/>
    <w:rPr>
      <w:rFonts w:ascii="Times New Roman" w:hAnsi="Times New Roman"/>
      <w:b/>
      <w:smallCaps/>
      <w:color w:val="3A0517"/>
      <w:sz w:val="32"/>
    </w:rPr>
  </w:style>
  <w:style w:type="character" w:customStyle="1" w:styleId="Hyperlink">
    <w:name w:val="Hyperlink"/>
    <w:rPr>
      <w:color w:val="44444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pp.opin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