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4320"/>
        <w:gridCol w:w="4320"/>
      </w:tblGrid>
      <w:tr>
        <w:tc>
          <w:tcPr>
            <w:tcW w:type="dxa" w:w="4320"/>
          </w:tcPr>
          <w:p/>
          <w:p>
            <w:r>
              <w:drawing>
                <wp:inline xmlns:a="http://schemas.openxmlformats.org/drawingml/2006/main" xmlns:pic="http://schemas.openxmlformats.org/drawingml/2006/picture">
                  <wp:extent cx="914400" cy="1114828"/>
                  <wp:docPr id="1" name="Picture 1"/>
                  <wp:cNvGraphicFramePr>
                    <a:graphicFrameLocks noChangeAspect="1"/>
                  </wp:cNvGraphicFramePr>
                  <a:graphic>
                    <a:graphicData uri="http://schemas.openxmlformats.org/drawingml/2006/picture">
                      <pic:pic>
                        <pic:nvPicPr>
                          <pic:cNvPr id="0" name="logoLarge.png"/>
                          <pic:cNvPicPr/>
                        </pic:nvPicPr>
                        <pic:blipFill>
                          <a:blip r:embed="rId9"/>
                          <a:stretch>
                            <a:fillRect/>
                          </a:stretch>
                        </pic:blipFill>
                        <pic:spPr>
                          <a:xfrm>
                            <a:off x="0" y="0"/>
                            <a:ext cx="914400" cy="1114828"/>
                          </a:xfrm>
                          <a:prstGeom prst="rect"/>
                        </pic:spPr>
                      </pic:pic>
                    </a:graphicData>
                  </a:graphic>
                </wp:inline>
              </w:drawing>
            </w:r>
          </w:p>
          <w:p>
            <w:pPr>
              <w:pStyle w:val="SmallCapsHeading"/>
            </w:pPr>
            <w:hyperlink r:id="rId10">
              <w:r>
                <w:rPr>
                  <w:color w:val="3a0517"/>
                </w:rPr>
                <w:t>Opine Law</w:t>
              </w:r>
            </w:hyperlink>
          </w:p>
        </w:tc>
        <w:tc>
          <w:tcPr>
            <w:tcW w:type="dxa" w:w="4320"/>
          </w:tcPr>
          <w:p/>
          <w:p>
            <w:r>
              <w:t>Case: B329314 - EFD USA, INC. v. BAND PRO FILM AND DIGITAL INC.</w:t>
            </w:r>
          </w:p>
        </w:tc>
      </w:tr>
    </w:tbl>
    <w:p>
      <w:pPr>
        <w:pStyle w:val="OpineSubtitle"/>
      </w:pPr>
      <w:r>
        <w:t>Citation Report</w:t>
      </w:r>
    </w:p>
    <w:p>
      <w:pPr>
        <w:pStyle w:val="OpineTitle"/>
      </w:pPr>
      <w:r>
        <w:t>Appellants' Corrected Opening Brief - R - Band Defendants and Brooks (Record Citations and Adding Hyperlinks)</w:t>
      </w:r>
    </w:p>
    <w:p>
      <w:pPr>
        <w:pStyle w:val="Heading1"/>
      </w:pPr>
      <w:r>
        <w:bookmarkStart w:id="0" w:name="legend"/>
        <w:bookmarkEnd w:id="0" w:name="legend"/>
      </w:r>
      <w:r>
        <w:t>Legend</w:t>
      </w:r>
    </w:p>
    <w:p>
      <w:pPr>
        <w:spacing w:before="0" w:after="0"/>
      </w:pPr>
      <w:r>
        <w:t>🟢</w:t>
        <w:tab/>
        <w:t>Accurate application</w:t>
      </w:r>
    </w:p>
    <w:p>
      <w:pPr>
        <w:spacing w:before="0" w:after="0"/>
      </w:pPr>
      <w:r>
        <w:t>🟡</w:t>
        <w:tab/>
        <w:t>Minor issues or incomplete application</w:t>
      </w:r>
    </w:p>
    <w:p>
      <w:pPr>
        <w:spacing w:before="0" w:after="0"/>
      </w:pPr>
      <w:r>
        <w:t>🔴</w:t>
        <w:tab/>
        <w:t>Significant problems or overextension</w:t>
      </w:r>
    </w:p>
    <w:p>
      <w:pPr>
        <w:spacing w:before="0" w:after="0"/>
      </w:pPr>
      <w:r>
        <w:t>☠️</w:t>
        <w:tab/>
        <w:t>Serious misrepresentation, fabrication, error, or hallucination</w:t>
      </w:r>
    </w:p>
    <w:p>
      <w:pPr>
        <w:spacing w:before="0" w:after="0"/>
      </w:pPr>
      <w:r>
        <w:t>⚪</w:t>
        <w:tab/>
        <w:t>Opine Deep Research not available (error and hallucination check only)</w:t>
      </w:r>
    </w:p>
    <w:p/>
    <w:tbl>
      <w:tblPr>
        <w:tblW w:type="auto" w:w="0"/>
        <w:tblLook w:firstColumn="1" w:firstRow="1" w:lastColumn="0" w:lastRow="0" w:noHBand="0" w:noVBand="1" w:val="04A0"/>
      </w:tblPr>
      <w:tblGrid>
        <w:gridCol w:w="0"/>
        <w:gridCol w:w="0"/>
        <w:gridCol w:w="0"/>
        <w:gridCol w:w="0"/>
        <w:gridCol w:w="0"/>
        <w:gridCol w:w="0"/>
      </w:tblGrid>
      <w:tr>
        <w:trPr>
          <w:tblHeader/>
        </w:trPr>
        <w:tc>
          <w:tcPr>
            <w:tcW w:type="dxa" w:w="1800"/>
          </w:tcP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r>
      <w:tr>
        <w:tc>
          <w:tcPr>
            <w:tcW w:type="dxa" w:w="1800"/>
          </w:tcPr>
          <w:p>
            <w:pPr>
              <w:spacing w:before="0" w:after="0" w:line="360" w:lineRule="auto"/>
              <w:jc w:val="left"/>
            </w:pPr>
            <w:r>
              <w:rPr>
                <w:b/>
              </w:rPr>
              <w:t>33 Citations</w:t>
            </w:r>
          </w:p>
        </w:tc>
        <w:tc>
          <w:tcPr>
            <w:tcW w:type="dxa" w:w="1800"/>
          </w:tcPr>
          <w:p>
            <w:pPr>
              <w:spacing w:before="0" w:after="0" w:line="360" w:lineRule="auto"/>
              <w:jc w:val="center"/>
            </w:pPr>
            <w:r>
              <w:t>16</w:t>
            </w:r>
          </w:p>
        </w:tc>
        <w:tc>
          <w:tcPr>
            <w:tcW w:type="dxa" w:w="1800"/>
          </w:tcPr>
          <w:p>
            <w:pPr>
              <w:spacing w:before="0" w:after="0" w:line="360" w:lineRule="auto"/>
              <w:jc w:val="center"/>
            </w:pPr>
            <w:r>
              <w:t>11</w:t>
            </w:r>
          </w:p>
        </w:tc>
        <w:tc>
          <w:tcPr>
            <w:tcW w:type="dxa" w:w="1800"/>
          </w:tcPr>
          <w:p>
            <w:pPr>
              <w:spacing w:before="0" w:after="0" w:line="360" w:lineRule="auto"/>
              <w:jc w:val="center"/>
            </w:pPr>
            <w:r>
              <w:t>3</w:t>
            </w:r>
          </w:p>
        </w:tc>
        <w:tc>
          <w:tcPr>
            <w:tcW w:type="dxa" w:w="1800"/>
          </w:tcPr>
          <w:p>
            <w:pPr>
              <w:spacing w:before="0" w:after="0" w:line="360" w:lineRule="auto"/>
              <w:jc w:val="center"/>
            </w:pPr>
            <w:r>
              <w:t>2</w:t>
            </w:r>
          </w:p>
        </w:tc>
        <w:tc>
          <w:tcPr>
            <w:tcW w:type="dxa" w:w="1800"/>
          </w:tcPr>
          <w:p>
            <w:pPr>
              <w:spacing w:before="0" w:after="0" w:line="360" w:lineRule="auto"/>
              <w:jc w:val="center"/>
            </w:pPr>
            <w:r>
              <w:t>1</w:t>
            </w:r>
          </w:p>
        </w:tc>
      </w:tr>
      <w:tr>
        <w:tc>
          <w:tcPr>
            <w:tcW w:type="dxa" w:w="1800"/>
          </w:tcPr>
          <w:p>
            <w:pPr>
              <w:spacing w:before="0" w:after="0" w:line="360" w:lineRule="auto"/>
              <w:jc w:val="right"/>
            </w:pPr>
            <w:r>
              <w:t>28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5 Statutes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left"/>
            </w:pPr>
            <w:r>
              <w:rPr>
                <w:b/>
              </w:rPr>
              <w:t>19 Quotes</w:t>
            </w:r>
          </w:p>
        </w:tc>
        <w:tc>
          <w:tcPr>
            <w:tcW w:type="dxa" w:w="1800"/>
          </w:tcPr>
          <w:p>
            <w:pPr>
              <w:spacing w:before="0" w:after="0" w:line="360" w:lineRule="auto"/>
              <w:jc w:val="center"/>
            </w:pPr>
            <w:r>
              <w:t>13</w:t>
            </w:r>
          </w:p>
        </w:tc>
        <w:tc>
          <w:tcPr>
            <w:tcW w:type="dxa" w:w="1800"/>
          </w:tcPr>
          <w:p>
            <w:pPr>
              <w:spacing w:before="0" w:after="0" w:line="360" w:lineRule="auto"/>
              <w:jc w:val="center"/>
            </w:pPr>
            <w:r>
              <w:t>2</w:t>
            </w:r>
          </w:p>
        </w:tc>
        <w:tc>
          <w:tcPr>
            <w:tcW w:type="dxa" w:w="1800"/>
          </w:tcPr>
          <w:p>
            <w:pPr>
              <w:spacing w:before="0" w:after="0" w:line="360" w:lineRule="auto"/>
              <w:jc w:val="center"/>
            </w:pPr>
            <w:r>
              <w:t>1</w:t>
            </w:r>
          </w:p>
        </w:tc>
        <w:tc>
          <w:tcPr>
            <w:tcW w:type="dxa" w:w="1800"/>
          </w:tcPr>
          <w:p>
            <w:pPr>
              <w:spacing w:before="0" w:after="0" w:line="360" w:lineRule="auto"/>
              <w:jc w:val="center"/>
            </w:pPr>
            <w:r>
              <w:t>3</w:t>
            </w:r>
          </w:p>
        </w:tc>
        <w:tc>
          <w:tcPr>
            <w:tcW w:type="dxa" w:w="1800"/>
          </w:tcPr>
          <w:p>
            <w:pPr>
              <w:spacing w:before="0" w:after="0" w:line="360" w:lineRule="auto"/>
              <w:jc w:val="center"/>
            </w:pPr>
            <w:r>
              <w:t>0</w:t>
            </w:r>
          </w:p>
        </w:tc>
      </w:tr>
      <w:tr>
        <w:tc>
          <w:tcPr>
            <w:tcW w:type="dxa" w:w="1800"/>
          </w:tcPr>
          <w:p>
            <w:pPr>
              <w:spacing w:before="0" w:after="0" w:line="360" w:lineRule="auto"/>
              <w:jc w:val="right"/>
            </w:pPr>
            <w:r>
              <w:t>17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right"/>
            </w:pPr>
            <w:r>
              <w:t>2 Statutes</w:t>
            </w:r>
          </w:p>
        </w:tc>
        <w:tc>
          <w:tcPr>
            <w:tcW w:type="dxa" w:w="1800"/>
          </w:tcPr>
          <w:p/>
        </w:tc>
        <w:tc>
          <w:tcPr>
            <w:tcW w:type="dxa" w:w="1800"/>
          </w:tcPr>
          <w:p/>
        </w:tc>
        <w:tc>
          <w:tcPr>
            <w:tcW w:type="dxa" w:w="1800"/>
          </w:tcPr>
          <w:p/>
        </w:tc>
        <w:tc>
          <w:tcPr>
            <w:tcW w:type="dxa" w:w="1800"/>
          </w:tcPr>
          <w:p/>
        </w:tc>
        <w:tc>
          <w:tcPr>
            <w:tcW w:type="dxa" w:w="1800"/>
          </w:tcPr>
          <w:p/>
        </w:tc>
      </w:tr>
    </w:tbl>
    <w:p>
      <w:r>
        <w:br w:type="page"/>
      </w:r>
    </w:p>
    <w:p>
      <w:pPr>
        <w:pStyle w:val="TriageReport"/>
      </w:pPr>
      <w:r>
        <w:t>Triage Report</w:t>
      </w:r>
    </w:p>
    <w:p>
      <w:pPr>
        <w:pStyle w:val="Heading2"/>
      </w:pPr>
      <w:r>
        <w:bookmarkStart w:id="2" w:name="seriousissues"/>
        <w:bookmarkEnd w:id="2" w:name="seriousissues"/>
      </w:r>
      <w:r>
        <w:t>Serious Issues</w:t>
      </w:r>
    </w:p>
    <w:p>
      <w:pPr>
        <w:pStyle w:val="Heading4"/>
      </w:pPr>
      <w:r>
        <w:t>Cases</w:t>
      </w:r>
    </w:p>
    <w:p>
      <w:pPr>
        <w:spacing w:before="0" w:after="0"/>
      </w:pPr>
      <w:r>
        <w:t xml:space="preserve">☠️ </w:t>
      </w:r>
      <w:hyperlink w:anchor="cortezvpurol10">
        <w:r>
          <w:rPr/>
          <w:t xml:space="preserve">Cortez v. Purolator Air Filtration Prods. Co. 23 Cal.4th 163</w:t>
        </w:r>
      </w:hyperlink>
    </w:p>
    <w:p>
      <w:pPr>
        <w:spacing w:before="0" w:after="0"/>
      </w:pPr>
      <w:r>
        <w:t xml:space="preserve">        </w:t>
      </w:r>
      <w:hyperlink w:anchor="cortezvpurol11">
        <w:r>
          <w:rPr/>
          <w:t xml:space="preserve">☠️ 1 Quote</w:t>
        </w:r>
      </w:hyperlink>
    </w:p>
    <w:p>
      <w:pPr>
        <w:spacing w:before="0" w:after="0"/>
      </w:pPr>
      <w:r>
        <w:t xml:space="preserve">☠️ </w:t>
      </w:r>
      <w:hyperlink w:anchor="riverislandc12">
        <w:r>
          <w:rPr/>
          <w:t xml:space="preserve">Riverisland Cold Storage, Inc. v. Fresno-Madera Prod. Credit Ass'n 55 Cal.4th 1169</w:t>
        </w:r>
      </w:hyperlink>
    </w:p>
    <w:p>
      <w:pPr>
        <w:spacing w:before="0" w:after="0"/>
      </w:pPr>
      <w:r>
        <w:t xml:space="preserve">        </w:t>
      </w:r>
      <w:hyperlink w:anchor="riverislandc13">
        <w:r>
          <w:rPr/>
          <w:t xml:space="preserve">☠️ 1 Quote</w:t>
        </w:r>
      </w:hyperlink>
    </w:p>
    <w:p>
      <w:pPr>
        <w:pStyle w:val="Heading2"/>
      </w:pPr>
      <w:r>
        <w:bookmarkStart w:id="4" w:name="significantissues"/>
        <w:bookmarkEnd w:id="4" w:name="significantissues"/>
      </w:r>
      <w:r>
        <w:t>Significant Issues</w:t>
      </w:r>
    </w:p>
    <w:p>
      <w:pPr>
        <w:pStyle w:val="Heading4"/>
      </w:pPr>
      <w:r>
        <w:t>Cases</w:t>
      </w:r>
    </w:p>
    <w:p>
      <w:pPr>
        <w:spacing w:before="0" w:after="0"/>
      </w:pPr>
      <w:r>
        <w:t xml:space="preserve">🔴 </w:t>
      </w:r>
      <w:hyperlink w:anchor="altavionincv14">
        <w:r>
          <w:rPr/>
          <w:t xml:space="preserve">Altavion, Inc. v. Konica Minolta Sys. Lab'y, Inc. 226 Cal.App.4th 26</w:t>
        </w:r>
      </w:hyperlink>
    </w:p>
    <w:p>
      <w:pPr>
        <w:spacing w:before="0" w:after="0"/>
      </w:pPr>
      <w:r>
        <w:t xml:space="preserve">🔴 </w:t>
      </w:r>
      <w:hyperlink w:anchor="mckenzievfor15">
        <w:r>
          <w:rPr/>
          <w:t xml:space="preserve">McKenzie v. Ford Motor Co. 238 Cal.App.4th 695</w:t>
        </w:r>
      </w:hyperlink>
    </w:p>
    <w:p>
      <w:pPr>
        <w:pStyle w:val="Heading4"/>
      </w:pPr>
      <w:r>
        <w:t>Statutes</w:t>
      </w:r>
    </w:p>
    <w:p>
      <w:pPr>
        <w:spacing w:before="0" w:after="0"/>
      </w:pPr>
      <w:r>
        <w:t xml:space="preserve">🔴 </w:t>
      </w:r>
      <w:hyperlink w:anchor="civilcode3288">
        <w:r>
          <w:rPr/>
          <w:t xml:space="preserve">Civil Code § 3288</w:t>
        </w:r>
      </w:hyperlink>
    </w:p>
    <w:p>
      <w:pPr>
        <w:spacing w:before="0" w:after="0"/>
      </w:pPr>
      <w:r>
        <w:t xml:space="preserve">        </w:t>
      </w:r>
      <w:hyperlink w:anchor="civilcode3288quotes">
        <w:r>
          <w:rPr/>
          <w:t xml:space="preserve">☠️ 1 Quote</w:t>
        </w:r>
      </w:hyperlink>
    </w:p>
    <w:p>
      <w:pPr>
        <w:pStyle w:val="Heading2"/>
      </w:pPr>
      <w:r>
        <w:bookmarkStart w:id="7" w:name="minorissues"/>
        <w:bookmarkEnd w:id="7" w:name="minorissues"/>
      </w:r>
      <w:r>
        <w:t>Minor Issues</w:t>
      </w:r>
    </w:p>
    <w:p>
      <w:pPr>
        <w:pStyle w:val="Heading4"/>
      </w:pPr>
      <w:r>
        <w:t>Cases</w:t>
      </w:r>
    </w:p>
    <w:p>
      <w:pPr>
        <w:spacing w:before="0" w:after="0"/>
      </w:pPr>
      <w:r>
        <w:t xml:space="preserve">🟡 </w:t>
      </w:r>
      <w:hyperlink w:anchor="crasnickvmar18">
        <w:r>
          <w:rPr/>
          <w:t xml:space="preserve">Crasnick v. Marquez 248 Cal.App.4th Supp. 1</w:t>
        </w:r>
      </w:hyperlink>
    </w:p>
    <w:p>
      <w:pPr>
        <w:spacing w:before="0" w:after="0"/>
      </w:pPr>
      <w:r>
        <w:t xml:space="preserve">🟡 </w:t>
      </w:r>
      <w:hyperlink w:anchor="dellocavbank19">
        <w:r>
          <w:rPr/>
          <w:t xml:space="preserve">Dell'Oca v. Bank of New York Tr. Co. 159 Cal.App.4th 531</w:t>
        </w:r>
      </w:hyperlink>
    </w:p>
    <w:p>
      <w:pPr>
        <w:spacing w:before="0" w:after="0"/>
      </w:pPr>
      <w:r>
        <w:t xml:space="preserve">        </w:t>
      </w:r>
      <w:hyperlink w:anchor="dellocavbank20">
        <w:r>
          <w:rPr/>
          <w:t xml:space="preserve">🟢 2 Quotes</w:t>
        </w:r>
      </w:hyperlink>
    </w:p>
    <w:p>
      <w:pPr>
        <w:spacing w:before="0" w:after="0"/>
      </w:pPr>
      <w:r>
        <w:t xml:space="preserve">🟡 </w:t>
      </w:r>
      <w:hyperlink w:anchor="horstmannvsh21">
        <w:r>
          <w:rPr/>
          <w:t xml:space="preserve">Horstmann v. Sheldon 202 Cal.App.2d 184</w:t>
        </w:r>
      </w:hyperlink>
    </w:p>
    <w:p>
      <w:pPr>
        <w:spacing w:before="0" w:after="0"/>
      </w:pPr>
      <w:r>
        <w:t xml:space="preserve">🟡 </w:t>
      </w:r>
      <w:hyperlink w:anchor="golanvsaada122">
        <w:r>
          <w:rPr/>
          <w:t xml:space="preserve">Golan v. Saada 142 S.Ct. 1880</w:t>
        </w:r>
      </w:hyperlink>
    </w:p>
    <w:p>
      <w:pPr>
        <w:spacing w:before="0" w:after="0"/>
      </w:pPr>
      <w:r>
        <w:t xml:space="preserve">🟡 </w:t>
      </w:r>
      <w:hyperlink w:anchor="garciavdurod23">
        <w:r>
          <w:rPr/>
          <w:t xml:space="preserve">Garcia v. Duro Dyne Corp. 156 Cal.App.4th 92</w:t>
        </w:r>
      </w:hyperlink>
    </w:p>
    <w:p>
      <w:pPr>
        <w:spacing w:before="0" w:after="0"/>
      </w:pPr>
      <w:r>
        <w:t xml:space="preserve">🟡 </w:t>
      </w:r>
      <w:hyperlink w:anchor="newbyvvroman24">
        <w:r>
          <w:rPr/>
          <w:t xml:space="preserve">Newby v. Vroman 11 Cal.App.4th 283</w:t>
        </w:r>
      </w:hyperlink>
    </w:p>
    <w:p>
      <w:pPr>
        <w:spacing w:before="0" w:after="0"/>
      </w:pPr>
      <w:r>
        <w:t xml:space="preserve">🟡 </w:t>
      </w:r>
      <w:hyperlink w:anchor="peoplevpacla25">
        <w:r>
          <w:rPr/>
          <w:t xml:space="preserve">People v. Pac. Land Research Co. 20 Cal.3d 10</w:t>
        </w:r>
      </w:hyperlink>
    </w:p>
    <w:p>
      <w:pPr>
        <w:spacing w:before="0" w:after="0"/>
      </w:pPr>
      <w:r>
        <w:t xml:space="preserve">🟡 </w:t>
      </w:r>
      <w:hyperlink w:anchor="paclegalfoun26">
        <w:r>
          <w:rPr/>
          <w:t xml:space="preserve">Pac. Legal Found. v. Cal. Coastal Comm'n 33 Cal.3d 158</w:t>
        </w:r>
      </w:hyperlink>
    </w:p>
    <w:p>
      <w:pPr>
        <w:spacing w:before="0" w:after="0"/>
      </w:pPr>
      <w:r>
        <w:t xml:space="preserve">🟡 </w:t>
      </w:r>
      <w:hyperlink w:anchor="wadevschrade27">
        <w:r>
          <w:rPr/>
          <w:t xml:space="preserve">Wade v. Schrader 168 Cal.App.4th 1039</w:t>
        </w:r>
      </w:hyperlink>
    </w:p>
    <w:p>
      <w:pPr>
        <w:spacing w:before="0" w:after="0"/>
      </w:pPr>
      <w:r>
        <w:t xml:space="preserve">🟡 </w:t>
      </w:r>
      <w:hyperlink w:anchor="peoplevtoome28">
        <w:r>
          <w:rPr/>
          <w:t xml:space="preserve">People v. Toomey 157 Cal.App.3d 1</w:t>
        </w:r>
      </w:hyperlink>
    </w:p>
    <w:p>
      <w:pPr>
        <w:pStyle w:val="Heading4"/>
      </w:pPr>
      <w:r>
        <w:t>Statutes</w:t>
      </w:r>
    </w:p>
    <w:p>
      <w:pPr>
        <w:spacing w:before="0" w:after="0"/>
      </w:pPr>
      <w:r>
        <w:t xml:space="preserve">🟡 </w:t>
      </w:r>
      <w:hyperlink w:anchor="codeofcivilp29">
        <w:r>
          <w:rPr/>
          <w:t xml:space="preserve">Code of Civil Procedure § 877.6</w:t>
        </w:r>
      </w:hyperlink>
    </w:p>
    <w:p>
      <w:pPr>
        <w:pStyle w:val="Heading2"/>
      </w:pPr>
      <w:r>
        <w:bookmarkStart w:id="10" w:name="accurate"/>
        <w:bookmarkEnd w:id="10" w:name="accurate"/>
      </w:r>
      <w:r>
        <w:t>Accurate</w:t>
      </w:r>
    </w:p>
    <w:p>
      <w:pPr>
        <w:pStyle w:val="Heading4"/>
      </w:pPr>
      <w:r>
        <w:t>Cases</w:t>
      </w:r>
    </w:p>
    <w:p>
      <w:pPr>
        <w:spacing w:before="0" w:after="0"/>
      </w:pPr>
      <w:r>
        <w:t xml:space="preserve">🟢 </w:t>
      </w:r>
      <w:hyperlink w:anchor="carlsenvkoiv30">
        <w:r>
          <w:rPr/>
          <w:t xml:space="preserve">Carlsen v. Koivumaki 227 Cal.App.4th 879</w:t>
        </w:r>
      </w:hyperlink>
    </w:p>
    <w:p>
      <w:pPr>
        <w:spacing w:before="0" w:after="0"/>
      </w:pPr>
      <w:r>
        <w:t xml:space="preserve">🟢 </w:t>
      </w:r>
      <w:hyperlink w:anchor="csordasvunit31">
        <w:r>
          <w:rPr/>
          <w:t xml:space="preserve">Csordas v. United Slate Tile &amp; Composition Roofers 177 Cal.App.2d 184</w:t>
        </w:r>
      </w:hyperlink>
    </w:p>
    <w:p>
      <w:pPr>
        <w:spacing w:before="0" w:after="0"/>
      </w:pPr>
      <w:r>
        <w:t xml:space="preserve">🟢 </w:t>
      </w:r>
      <w:hyperlink w:anchor="abbottfordin32">
        <w:r>
          <w:rPr/>
          <w:t xml:space="preserve">Abbott Ford, Inc. v. Superior Court 43 Cal.3d 858</w:t>
        </w:r>
      </w:hyperlink>
    </w:p>
    <w:p>
      <w:pPr>
        <w:spacing w:before="0" w:after="0"/>
      </w:pPr>
      <w:r>
        <w:t xml:space="preserve">🟢 </w:t>
      </w:r>
      <w:hyperlink w:anchor="estateofblan33">
        <w:r>
          <w:rPr/>
          <w:t xml:space="preserve">Estate of Blanco 86 Cal.App.3d 826</w:t>
        </w:r>
      </w:hyperlink>
    </w:p>
    <w:p>
      <w:pPr>
        <w:spacing w:before="0" w:after="0"/>
      </w:pPr>
      <w:r>
        <w:t xml:space="preserve">🟢 </w:t>
      </w:r>
      <w:hyperlink w:anchor="errecasvsupe34">
        <w:r>
          <w:rPr/>
          <w:t xml:space="preserve">Erreca's v. Superior Court 19 Cal.App.4th 1475</w:t>
        </w:r>
      </w:hyperlink>
    </w:p>
    <w:p>
      <w:pPr>
        <w:spacing w:before="0" w:after="0"/>
      </w:pPr>
      <w:r>
        <w:t xml:space="preserve">🟢 </w:t>
      </w:r>
      <w:hyperlink w:anchor="dillinghamco35">
        <w:r>
          <w:rPr/>
          <w:t xml:space="preserve">Dillingham Const., N.A., Inc. v. Nadel P'ship, Inc. 64 Cal.App.4th 264</w:t>
        </w:r>
      </w:hyperlink>
    </w:p>
    <w:p>
      <w:pPr>
        <w:spacing w:before="0" w:after="0"/>
      </w:pPr>
      <w:r>
        <w:t xml:space="preserve">        </w:t>
      </w:r>
      <w:hyperlink w:anchor="dillinghamco36">
        <w:r>
          <w:rPr/>
          <w:t xml:space="preserve">🟢 1 Quote</w:t>
        </w:r>
      </w:hyperlink>
    </w:p>
    <w:p>
      <w:pPr>
        <w:spacing w:before="0" w:after="0"/>
      </w:pPr>
      <w:r>
        <w:t xml:space="preserve">🟢 </w:t>
      </w:r>
      <w:hyperlink w:anchor="johnsonvstan37">
        <w:r>
          <w:rPr/>
          <w:t xml:space="preserve">Johnson v. Stanhiser 72 Cal.App.4th 357</w:t>
        </w:r>
      </w:hyperlink>
    </w:p>
    <w:p>
      <w:pPr>
        <w:spacing w:before="0" w:after="0"/>
      </w:pPr>
      <w:r>
        <w:t xml:space="preserve">🟢 </w:t>
      </w:r>
      <w:hyperlink w:anchor="kahnvlasorda38">
        <w:r>
          <w:rPr/>
          <w:t xml:space="preserve">Kahn v. Lasorda's Dugout, Inc. 109 Cal.App.4th 1118</w:t>
        </w:r>
      </w:hyperlink>
    </w:p>
    <w:p>
      <w:pPr>
        <w:spacing w:before="0" w:after="0"/>
      </w:pPr>
      <w:r>
        <w:t xml:space="preserve">🟢 </w:t>
      </w:r>
      <w:hyperlink w:anchor="peoplevorabu39">
        <w:r>
          <w:rPr/>
          <w:t xml:space="preserve">People v. Orabuena 116 Cal.App.4th 84</w:t>
        </w:r>
      </w:hyperlink>
    </w:p>
    <w:p>
      <w:pPr>
        <w:spacing w:before="0" w:after="0"/>
      </w:pPr>
      <w:r>
        <w:t xml:space="preserve">        </w:t>
      </w:r>
      <w:hyperlink w:anchor="peoplevorabu40">
        <w:r>
          <w:rPr/>
          <w:t xml:space="preserve">🟡 1 Quote</w:t>
        </w:r>
      </w:hyperlink>
    </w:p>
    <w:p>
      <w:pPr>
        <w:spacing w:before="0" w:after="0"/>
      </w:pPr>
      <w:r>
        <w:t xml:space="preserve">🟢 </w:t>
      </w:r>
      <w:hyperlink w:anchor="hoopesvdolan41">
        <w:r>
          <w:rPr/>
          <w:t xml:space="preserve">Hoopes v. Dolan 168 Cal.App.4th 146</w:t>
        </w:r>
      </w:hyperlink>
    </w:p>
    <w:p>
      <w:pPr>
        <w:spacing w:before="0" w:after="0"/>
      </w:pPr>
      <w:r>
        <w:t xml:space="preserve">🟢 </w:t>
      </w:r>
      <w:hyperlink w:anchor="leafvcityofs42">
        <w:r>
          <w:rPr/>
          <w:t xml:space="preserve">Leaf v. City of San Mateo 104 Cal.App.3d 398</w:t>
        </w:r>
      </w:hyperlink>
    </w:p>
    <w:p>
      <w:pPr>
        <w:spacing w:before="0" w:after="0"/>
      </w:pPr>
      <w:r>
        <w:t xml:space="preserve">        </w:t>
      </w:r>
      <w:hyperlink w:anchor="leafvcityofs43">
        <w:r>
          <w:rPr/>
          <w:t xml:space="preserve">🔴 2 Quotes</w:t>
        </w:r>
      </w:hyperlink>
    </w:p>
    <w:p>
      <w:pPr>
        <w:spacing w:before="0" w:after="0"/>
      </w:pPr>
      <w:r>
        <w:t xml:space="preserve">🟢 </w:t>
      </w:r>
      <w:hyperlink w:anchor="moncharshvhe44">
        <w:r>
          <w:rPr/>
          <w:t xml:space="preserve">Moncharsh v. Heily &amp; Blase 3 Cal.4th 1</w:t>
        </w:r>
      </w:hyperlink>
    </w:p>
    <w:p>
      <w:pPr>
        <w:spacing w:before="0" w:after="0"/>
      </w:pPr>
      <w:r>
        <w:t xml:space="preserve">        </w:t>
      </w:r>
      <w:hyperlink w:anchor="moncharshvhe45">
        <w:r>
          <w:rPr/>
          <w:t xml:space="preserve">🟡 1 Quote</w:t>
        </w:r>
      </w:hyperlink>
    </w:p>
    <w:p>
      <w:pPr>
        <w:spacing w:before="0" w:after="0"/>
      </w:pPr>
      <w:r>
        <w:t xml:space="preserve">🟢 </w:t>
      </w:r>
      <w:hyperlink w:anchor="carrvcove33c46">
        <w:r>
          <w:rPr/>
          <w:t xml:space="preserve">Carr v. Cove 33 Cal.App.3d 851</w:t>
        </w:r>
      </w:hyperlink>
    </w:p>
    <w:p>
      <w:pPr>
        <w:spacing w:before="0" w:after="0"/>
      </w:pPr>
      <w:r>
        <w:t xml:space="preserve">        </w:t>
      </w:r>
      <w:hyperlink w:anchor="carrvcove33c47">
        <w:r>
          <w:rPr/>
          <w:t xml:space="preserve">🟢 8 Quotes</w:t>
        </w:r>
      </w:hyperlink>
    </w:p>
    <w:p>
      <w:pPr>
        <w:pStyle w:val="Heading4"/>
      </w:pPr>
      <w:r>
        <w:t>Statutes</w:t>
      </w:r>
    </w:p>
    <w:p>
      <w:pPr>
        <w:spacing w:before="0" w:after="0"/>
      </w:pPr>
      <w:r>
        <w:t xml:space="preserve">🟢 </w:t>
      </w:r>
      <w:hyperlink w:anchor="businessandp48">
        <w:r>
          <w:rPr/>
          <w:t xml:space="preserve">Business and Professions Code § 17200</w:t>
        </w:r>
      </w:hyperlink>
    </w:p>
    <w:p>
      <w:pPr>
        <w:spacing w:before="0" w:after="0"/>
      </w:pPr>
      <w:r>
        <w:t xml:space="preserve">🟢 </w:t>
      </w:r>
      <w:hyperlink w:anchor="codeofcivilp49">
        <w:r>
          <w:rPr/>
          <w:t xml:space="preserve">Code of Civil Procedure § 877</w:t>
        </w:r>
      </w:hyperlink>
    </w:p>
    <w:p>
      <w:pPr>
        <w:spacing w:before="0" w:after="0"/>
      </w:pPr>
      <w:r>
        <w:t xml:space="preserve">        </w:t>
      </w:r>
      <w:hyperlink w:anchor="codeofcivilp50">
        <w:r>
          <w:rPr/>
          <w:t xml:space="preserve">🟢 1 Quote</w:t>
        </w:r>
      </w:hyperlink>
    </w:p>
    <w:p>
      <w:pPr>
        <w:spacing w:before="0" w:after="0"/>
      </w:pPr>
      <w:r>
        <w:t xml:space="preserve">🟢 </w:t>
      </w:r>
      <w:hyperlink w:anchor="penalcode632">
        <w:r>
          <w:rPr/>
          <w:t xml:space="preserve">Penal Code § 632</w:t>
        </w:r>
      </w:hyperlink>
    </w:p>
    <w:p>
      <w:pPr>
        <w:pStyle w:val="Heading2"/>
      </w:pPr>
      <w:r>
        <w:bookmarkStart w:id="13" w:name="unavailable"/>
        <w:bookmarkEnd w:id="13" w:name="unavailable"/>
      </w:r>
      <w:r>
        <w:t>Unavailable</w:t>
      </w:r>
    </w:p>
    <w:p>
      <w:pPr>
        <w:pStyle w:val="Heading4"/>
      </w:pPr>
      <w:r>
        <w:t>Cases</w:t>
      </w:r>
    </w:p>
    <w:p>
      <w:pPr>
        <w:spacing w:before="0" w:after="0"/>
      </w:pPr>
      <w:r>
        <w:t xml:space="preserve">⚪ </w:t>
      </w:r>
      <w:hyperlink w:anchor="lilienthalfo52">
        <w:r>
          <w:rPr/>
          <w:t xml:space="preserve">Lilienthal &amp; Fowler v. Superior Court 16 Cal.Rptr.2d 458</w:t>
        </w:r>
      </w:hyperlink>
    </w:p>
    <w:p>
      <w:r>
        <w:br w:type="page"/>
      </w:r>
    </w:p>
    <w:p>
      <w:pPr>
        <w:pStyle w:val="TriageReport"/>
      </w:pPr>
      <w:r>
        <w:t>Citation Reports</w:t>
      </w:r>
    </w:p>
    <w:p>
      <w:pPr>
        <w:spacing w:before="0" w:after="0"/>
      </w:pPr>
      <w:r/>
      <w:hyperlink w:anchor="seriousissues">
        <w:r>
          <w:rPr/>
          <w:t xml:space="preserve">↑ Triage</w:t>
        </w:r>
      </w:hyperlink>
    </w:p>
    <w:p>
      <w:pPr>
        <w:pStyle w:val="Heading3"/>
      </w:pPr>
      <w:r>
        <w:bookmarkStart w:id="16" w:name="cortezvpurol10"/>
        <w:bookmarkEnd w:id="16" w:name="cortezvpurol10"/>
      </w:r>
      <w:r>
        <w:t>Cortez v. Purolator Air Filtration Prods. Co. 23 Cal.4th 163</w:t>
      </w:r>
    </w:p>
    <w:p>
      <w:pPr>
        <w:spacing w:before="240" w:after="240"/>
      </w:pPr>
      <w:r>
        <w:rPr>
          <w:b/>
          <w:i/>
          <w:color w:val="3A0517"/>
        </w:rPr>
        <w:t>Use of Citation</w:t>
      </w:r>
      <w:r>
        <w:t xml:space="preserve"> ☠️</w:t>
      </w:r>
    </w:p>
    <w:p>
      <w:pPr>
        <w:spacing w:before="0" w:after="0"/>
      </w:pPr>
      <w:r>
        <w:t>In the APPELLANTS’ CORRECTED OPENING BRIEF - R - BAND DEFENDANTS AND BROOKS (RECORD CITATIONS AND ADDING HYPERLINKS), the case Cortez v. Purolator Air Filtration Prods. Co. (2000) 23 Cal.4th 163 is cited to support the legal rule that courts should honor stipulations or agreements between parties regarding restitution in cases brought under Business and Professions Code section 17200 (p. 53). The citation appears within Section VI of the brief, where the appellants argue that the trial court erred by denying relief under the Unfair Competition Law (UCL) despite finding that Direct Video Warehouse, Inc. (DVWI) engaged in unlicensed lending (p. 52). The context of the citation relates to a dispute over the restitution amount; the appellants explain that while the trial court initially found their damages calculation incorrect, they subsequently accepted the respondents' alternative calculation in their reply brief (p. 53). The appellants interpret Cortez as establishing that such an agreement on the restitution amount, reached through adversarial litigation, should be honored by the court to promote judicial economy and the spirit of compromise (p. 53). The brief directly applies this concept by arguing that the trial court's refusal to grant relief based on the agreed-upon amount was a contradiction of the principles set forth in Cortez (p. 53).</w:t>
      </w:r>
    </w:p>
    <w:p>
      <w:pPr>
        <w:spacing w:before="240" w:after="240"/>
      </w:pPr>
      <w:r>
        <w:rPr>
          <w:b/>
          <w:i/>
          <w:color w:val="3A0517"/>
        </w:rPr>
        <w:t>Accuracy Review</w:t>
      </w:r>
    </w:p>
    <w:p>
      <w:pPr>
        <w:spacing w:before="0" w:after="0"/>
      </w:pPr>
      <w:r>
        <w:t>The Appellants' brief fundamentally misapplies Cortez v. Purolator Air Filtration Prods. Co. by attributing to it a legal rule that does not exist within the opinion. The brief claims that Cortez stands for the proposition that 'courts should honor stipulations regarding restitution in Section 17200 cases.' A thorough review of the Cortez decision reveals no mention of 'stipulations' or any requirement that a court must or should defer to a party's agreement regarding the amount of restitution. In fact, Cortez emphasizes the 'broad discretion' of the trial court under section 17203, stating that the court 'may' make orders and that the determination of the appropriate remedy is left to the 'sound discretion of the trial court.' By suggesting that Cortez mandates or encourages the honoring of a party's calculation (which the brief characterizes as an agreement), the Appellants invert the actual holding of the case, which reinforces judicial autonomy in equity. Furthermore, the brief's reliance on Cortez to support a 'spirit of compromise' or 'judicial economy' regarding restitution amounts is a contextual overextension; Cortez was concerned with whether backpay qualified as restitution to avoid the bar on damages in UCL actions, not the procedural mechanics of party agreements.</w:t>
      </w:r>
    </w:p>
    <w:p>
      <w:pPr>
        <w:spacing w:before="240" w:after="240"/>
      </w:pPr>
      <w:r>
        <w:rPr>
          <w:b/>
          <w:i/>
          <w:color w:val="3A0517"/>
        </w:rPr>
        <w:t>Use of Quotes</w:t>
      </w:r>
      <w:r>
        <w:bookmarkStart w:id="17" w:name="cortezvpurol11"/>
        <w:bookmarkEnd w:id="17" w:name="cortezvpurol11"/>
      </w:r>
    </w:p>
    <w:p>
      <w:pPr>
        <w:spacing w:before="240" w:after="240"/>
      </w:pPr>
      <w:r>
        <w:t xml:space="preserve">☠️ </w:t>
      </w:r>
      <w:r>
        <w:rPr>
          <w:b/>
          <w:i/>
          <w:color w:val="3A0517"/>
        </w:rPr>
        <w:t>Quote 1 - 23 Cal.4th 163, 178</w:t>
      </w:r>
    </w:p>
    <w:p>
      <w:pPr>
        <w:pStyle w:val="Quote"/>
      </w:pPr>
      <w:r>
        <w:t>courts should honor stipulations regarding restitution in Section 17200 cases</w:t>
      </w:r>
    </w:p>
    <w:p>
      <w:pPr>
        <w:spacing w:before="0" w:after="0"/>
      </w:pPr>
      <w:r>
        <w:t>The quote 'courts should honor stipulations regarding restitution in Section 17200 cases' does not exist in the text of Cortez v. Purolator Air Filtration Prods. Co. A search of the 23 Cal.4th 163 opinion for the terms 'stipulation,' 'honor,' or 'spirit of compromise' yields no results in the context of the court's holding on restitution. The brief appears to have fabricated this specific rule and attributed it to Cortez.</w:t>
      </w:r>
    </w:p>
    <w:p>
      <w:pPr>
        <w:spacing w:before="240" w:after="240"/>
      </w:pPr>
      <w:r>
        <w:rPr>
          <w:b/>
          <w:i/>
          <w:color w:val="3A0517"/>
        </w:rPr>
        <w:t>Applicable Negative Treatment</w:t>
      </w:r>
    </w:p>
    <w:p>
      <w:pPr>
        <w:spacing w:before="0" w:after="0"/>
      </w:pPr>
      <w:r>
        <w:rPr>
          <w:b/>
        </w:rPr>
        <w:t>1. Voris v. Lampert, 7 Cal.5th 1141:</w:t>
      </w:r>
      <w:r>
        <w:t xml:space="preserve"> The California Supreme Court limited the holding in </w:t>
      </w:r>
      <w:r>
        <w:rPr>
          <w:i/>
        </w:rPr>
        <w:t>Cortez</w:t>
      </w:r>
      <w:r>
        <w:t xml:space="preserve"> that earned wages are the "property" of the employee, clarifying that this characterization is strictly limited to the context of a restitutionary remedy under the UCL and does not apply generally to other areas of law, such as conversion claims.</w:t>
      </w:r>
    </w:p>
    <w:p>
      <w:pPr>
        <w:spacing w:before="0" w:after="0"/>
      </w:pPr>
      <w:r>
        <w:rPr>
          <w:b/>
        </w:rPr>
        <w:t>2. People v. Ashford University, LLC, 100 Cal.App.5th 485:</w:t>
      </w:r>
      <w:r>
        <w:t xml:space="preserve"> This case limits the application of </w:t>
      </w:r>
      <w:r>
        <w:rPr>
          <w:i/>
        </w:rPr>
        <w:t>Cortez</w:t>
      </w:r>
      <w:r>
        <w:t xml:space="preserve"> by clarifying that Business and Professions Code section 17203 does not mandate restitutionary or injunctive relief even when an unfair business practice has been shown, directly contradicting the appellant's argument that such relief is "mandatory" or "automatically triggered" upon a finding of liability.</w:t>
      </w:r>
    </w:p>
    <w:p>
      <w:pPr>
        <w:spacing w:before="0" w:after="0"/>
      </w:pPr>
      <w:r>
        <w:rPr>
          <w:b/>
        </w:rPr>
        <w:t>3. Korea Supply Co. v. Lockheed Martin Corp., 29 Cal.4th 1134:</w:t>
      </w:r>
      <w:r>
        <w:t xml:space="preserve"> The California Supreme Court limited the scope of restitutionary remedies discussed in </w:t>
      </w:r>
      <w:r>
        <w:rPr>
          <w:i/>
        </w:rPr>
        <w:t>Cortez</w:t>
      </w:r>
      <w:r>
        <w:t>, clarifying that while restitution is broad, it does not include non-restitutionary disgorgement of profits to a plaintiff who does not have an ownership interest in those profits.</w:t>
      </w:r>
    </w:p>
    <w:p>
      <w:pPr>
        <w:spacing w:before="240" w:after="240"/>
      </w:pPr>
      <w:r>
        <w:rPr>
          <w:b/>
          <w:i/>
          <w:color w:val="3A0517"/>
        </w:rPr>
        <w:t>Other Relevant Precedence</w:t>
      </w:r>
    </w:p>
    <w:p>
      <w:pPr>
        <w:spacing w:before="0" w:after="0"/>
      </w:pPr>
      <w:r>
        <w:rPr>
          <w:b/>
        </w:rPr>
        <w:t>1. Zhang v. Superior Court, 57 Cal. 4th 364:</w:t>
      </w:r>
      <w:r>
        <w:t xml:space="preserve"> This California Supreme Court case is a direct jurisdictional match and provides more recent, authoritative precedent confirming that Business and Professions Code section 17203 does not mandate restitutionary relief even when an unfair business practice is proven, which is the core issue in the brief's challenge to the denial of UCL relief.</w:t>
      </w:r>
    </w:p>
    <w:p>
      <w:pPr>
        <w:spacing w:before="0" w:after="0"/>
      </w:pPr>
      <w:r>
        <w:rPr>
          <w:b/>
        </w:rPr>
        <w:t>2. Feitelberg v. Credit Suisse First Boston, 134 Cal. App. 4th 997:</w:t>
      </w:r>
      <w:r>
        <w:t xml:space="preserve"> This case is highly on-point as it explicitly states that various equitable grounds may support a trial court's decision not to award any remedy under the UCL, directly addressing the trial court's denial of relief discussed in the brief.</w:t>
      </w:r>
    </w:p>
    <w:p>
      <w:pPr>
        <w:spacing w:before="0" w:after="0"/>
      </w:pPr>
      <w:r>
        <w:rPr>
          <w:b/>
        </w:rPr>
        <w:t>3. Hambrick v. Healthcare Partners Medical Group, Inc., 238 Cal. App. 4th 124:</w:t>
      </w:r>
      <w:r>
        <w:t xml:space="preserve"> This case reinforces that UCL remedies are subject to the "very broad" discretion of the trial court and are not mandatory, providing a clearer standard for the "abuse of discretion" argument raised by the appellants.</w:t>
      </w:r>
    </w:p>
    <w:p>
      <w:pPr>
        <w:spacing w:before="0" w:after="0"/>
      </w:pPr>
      <w:r>
        <w:rPr>
          <w:b/>
        </w:rPr>
        <w:t>4. People v. Ashford University, LLC, 100 Cal.App.5th 485:</w:t>
      </w:r>
      <w:r>
        <w:t xml:space="preserve"> As a very recent (2024) decision, this case provides contemporary confirmation that the UCL does not mandate restitutionary or injunctive relief even upon a showing of an unfair business practice, which is more current than </w:t>
      </w:r>
      <w:r>
        <w:rPr>
          <w:i/>
        </w:rPr>
        <w:t>Cortez</w:t>
      </w:r>
      <w:r>
        <w:t>.</w:t>
      </w:r>
    </w:p>
    <w:p>
      <w:pPr>
        <w:spacing w:before="0" w:after="0"/>
      </w:pPr>
      <w:r>
        <w:rPr>
          <w:b/>
        </w:rPr>
        <w:t>5. People ex rel. Harris v. Aguayo, 11 Cal. App. 5th 1150:</w:t>
      </w:r>
      <w:r>
        <w:t xml:space="preserve"> This case discusses the trial court's goal to "accomplish complete justice" and how equitable considerations guide the discretion to fashion remedies, which is relevant to the appellants' argument that the court's denial of relief was "unjust."</w:t>
      </w:r>
    </w:p>
    <w:p>
      <w:r>
        <w:br w:type="page"/>
      </w:r>
    </w:p>
    <w:p>
      <w:pPr>
        <w:spacing w:before="0" w:after="0"/>
      </w:pPr>
      <w:r/>
      <w:hyperlink w:anchor="seriousissues">
        <w:r>
          <w:rPr/>
          <w:t xml:space="preserve">↑ Triage</w:t>
        </w:r>
      </w:hyperlink>
    </w:p>
    <w:p>
      <w:pPr>
        <w:pStyle w:val="Heading3"/>
      </w:pPr>
      <w:r>
        <w:bookmarkStart w:id="18" w:name="riverislandc12"/>
        <w:bookmarkEnd w:id="18" w:name="riverislandc12"/>
      </w:r>
      <w:r>
        <w:t>Riverisland Cold Storage, Inc. v. Fresno-Madera Prod. Credit Ass'n 55 Cal.4th 1169</w:t>
      </w:r>
    </w:p>
    <w:p>
      <w:pPr>
        <w:spacing w:before="240" w:after="240"/>
      </w:pPr>
      <w:r>
        <w:rPr>
          <w:b/>
          <w:i/>
          <w:color w:val="3A0517"/>
        </w:rPr>
        <w:t>Use of Citation</w:t>
      </w:r>
      <w:r>
        <w:t xml:space="preserve"> ☠️</w:t>
      </w:r>
    </w:p>
    <w:p>
      <w:pPr>
        <w:spacing w:before="0" w:after="0"/>
      </w:pPr>
      <w:r>
        <w:t>The document cites Riverisland Cold Storage, Inc. v. Fresno-Madera Prod. Credit Ass'n to support the legal rule that extrinsic evidence is admissible to interpret the terms of a written settlement agreement when that agreement was reached during mediation and contains a valid arbitration clause (p. 35). In the context of this case, the appellants argue that the trial court erred by finding the Bisel Settlement unambiguous and refusing to consider evidence regarding the allocation of settlement funds (p. 34). The appellants interpret Riverisland as providing a pathway to introduce extrinsic evidence—specifically the declarations of Jeffrey Bussell and Georgina Teran, as well as potential testimony from the mediator, Judge Stone—to prove the 'terms actually agreed to by the parties' regarding which claims were being settled (p. 35). The document directly applies this legal concept to assert that the trial court should have looked beyond the 'generic allegation of conspiracy' in the complaint and the 'mere recital of the scope of a release' to find that the settlement was intended to cover only Bisel-specific transactions, rather than the Band Pro transactions adjudicated at trial (pp. 34-36).</w:t>
      </w:r>
    </w:p>
    <w:p>
      <w:pPr>
        <w:spacing w:before="240" w:after="240"/>
      </w:pPr>
      <w:r>
        <w:rPr>
          <w:b/>
          <w:i/>
          <w:color w:val="3A0517"/>
        </w:rPr>
        <w:t>Accuracy Review</w:t>
      </w:r>
    </w:p>
    <w:p>
      <w:pPr>
        <w:spacing w:before="0" w:after="0"/>
      </w:pPr>
      <w:r>
        <w:t>The citation to Riverisland is fundamentally incorrect and constitutes a significant mischaracterization. The brief attributes a specific quote to the case regarding mediation and arbitration clauses that is entirely absent from the opinion. Furthermore, the brief overextends the legal principle established in Riverisland; while the case overruled the Pendergrass rule to allow extrinsic evidence of fraud even when it contradicts written terms, it did not create a general rule for interpreting settlement allocations or mediation agreements. The Appellants attempt to apply a fraud-based exception to a standard contract interpretation issue without alleging fraud in the settlement's procurement, thereby misapplying the case's essential reasoning and procedural context.</w:t>
      </w:r>
    </w:p>
    <w:p>
      <w:pPr>
        <w:spacing w:before="240" w:after="240"/>
      </w:pPr>
      <w:r>
        <w:rPr>
          <w:b/>
          <w:i/>
          <w:color w:val="3A0517"/>
        </w:rPr>
        <w:t>Use of Quotes</w:t>
      </w:r>
      <w:r>
        <w:bookmarkStart w:id="19" w:name="riverislandc13"/>
        <w:bookmarkEnd w:id="19" w:name="riverislandc13"/>
      </w:r>
    </w:p>
    <w:p>
      <w:pPr>
        <w:spacing w:before="240" w:after="240"/>
      </w:pPr>
      <w:r>
        <w:t xml:space="preserve">☠️ </w:t>
      </w:r>
      <w:r>
        <w:rPr>
          <w:b/>
          <w:i/>
          <w:color w:val="3A0517"/>
        </w:rPr>
        <w:t>Quote 1 - 55 Cal.4th 1169, 1182</w:t>
      </w:r>
    </w:p>
    <w:p>
      <w:pPr>
        <w:pStyle w:val="Quote"/>
      </w:pPr>
      <w:r>
        <w:t>Extrinsic evidence is admissible to interpret the terms of a written settlement agreement reached in a mediation containing a valid arbitration clause.</w:t>
      </w:r>
    </w:p>
    <w:p>
      <w:pPr>
        <w:spacing w:before="0" w:after="0"/>
      </w:pPr>
      <w:r>
        <w:t>The quote 'Extrinsic evidence is admissible to interpret the terms of a written settlement agreement reached in a mediation containing a valid arbitration clause' does not exist in the Riverisland decision. Consequently, it is neither accurate nor a complete representation of the court's statements. The court's actual discussion on page 1182 pertains to the 'venerable maxim' that the parol evidence rule should not shield fraud. The quote is applied in a context (mediation and arbitration) that is entirely foreign to the cited case, making its use contextually distorted and misleading.</w:t>
      </w:r>
    </w:p>
    <w:p>
      <w:pPr>
        <w:spacing w:before="240" w:after="240"/>
      </w:pPr>
      <w:r>
        <w:rPr>
          <w:b/>
          <w:i/>
          <w:color w:val="3A0517"/>
        </w:rPr>
        <w:t>Applicable Negative Treatment</w:t>
      </w:r>
    </w:p>
    <w:p>
      <w:pPr>
        <w:spacing w:before="0" w:after="0"/>
      </w:pPr>
      <w:r>
        <w:rPr>
          <w:b/>
        </w:rPr>
        <w:t>1. Fuller v. First Franklin Financial Corp., 216 Cal. App. 4th 955:</w:t>
      </w:r>
      <w:r>
        <w:t xml:space="preserve"> Distinguishes </w:t>
      </w:r>
      <w:r>
        <w:rPr>
          <w:i/>
        </w:rPr>
        <w:t>Riverisland</w:t>
      </w:r>
      <w:r>
        <w:t xml:space="preserve"> by reiterating the general rule that a party to a contract is charged with knowledge of its express provisions, which limits the "justifiable reliance" element necessary to invoke the fraud exception to the parol evidence rule.</w:t>
      </w:r>
    </w:p>
    <w:p>
      <w:pPr>
        <w:spacing w:before="0" w:after="0"/>
      </w:pPr>
      <w:r>
        <w:rPr>
          <w:b/>
        </w:rPr>
        <w:t>2. Appian Group Investors DE LLC v. Eves, 217 Cal. App. 4th 156:</w:t>
      </w:r>
      <w:r>
        <w:t xml:space="preserve"> Limits the application of </w:t>
      </w:r>
      <w:r>
        <w:rPr>
          <w:i/>
        </w:rPr>
        <w:t>Riverisland</w:t>
      </w:r>
      <w:r>
        <w:t xml:space="preserve"> by holding that the decision does not apply where a party fails to specifically raise fraud or the parol evidence rule in the trial court, effectively creating a procedural bar to its application.</w:t>
      </w:r>
    </w:p>
    <w:p>
      <w:pPr>
        <w:spacing w:before="0" w:after="0"/>
      </w:pPr>
      <w:r>
        <w:rPr>
          <w:b/>
        </w:rPr>
        <w:t>3. Reeder v. Specialized Loan Servicing LLC, 52 Cal. App. 5th 795:</w:t>
      </w:r>
      <w:r>
        <w:t xml:space="preserve"> Limits the fraud exception by emphasizing that promissory fraud requires a showing of specific intent not to perform at the time the promise was made and justifiable reliance, rather than mere failure of performance or an unkept promise.</w:t>
      </w:r>
    </w:p>
    <w:p>
      <w:pPr>
        <w:spacing w:before="240" w:after="240"/>
      </w:pPr>
      <w:r>
        <w:rPr>
          <w:b/>
          <w:i/>
          <w:color w:val="3A0517"/>
        </w:rPr>
        <w:t>Other Relevant Precedence</w:t>
      </w:r>
    </w:p>
    <w:p>
      <w:pPr>
        <w:spacing w:before="0" w:after="0"/>
      </w:pPr>
      <w:r>
        <w:rPr>
          <w:b/>
        </w:rPr>
        <w:t>1. Kurtin v. Elieff, 215 Cal.App.4th 455:</w:t>
      </w:r>
      <w:r>
        <w:t xml:space="preserve"> This case applies the </w:t>
      </w:r>
      <w:r>
        <w:rPr>
          <w:i/>
        </w:rPr>
        <w:t>Riverisland</w:t>
      </w:r>
      <w:r>
        <w:t xml:space="preserve"> principle to resolve ambiguities in contract intent through extrinsic evidence, specifically addressing the intersection of the parol evidence rule and the mediation privilege.</w:t>
      </w:r>
    </w:p>
    <w:p>
      <w:pPr>
        <w:spacing w:before="0" w:after="0"/>
      </w:pPr>
      <w:r>
        <w:rPr>
          <w:b/>
        </w:rPr>
        <w:t>2. Rosenfeld v. Abraham Joshua Heschel Day School, Inc., 226 Cal.App.4th 886:</w:t>
      </w:r>
      <w:r>
        <w:t xml:space="preserve"> This case clarifies the </w:t>
      </w:r>
      <w:r>
        <w:rPr>
          <w:i/>
        </w:rPr>
        <w:t>Riverisland</w:t>
      </w:r>
      <w:r>
        <w:t xml:space="preserve"> rule by stating that while integrated agreements generally exclude extrinsic evidence, such evidence is always admissible to explain or interpret ambiguous language within the writing.</w:t>
      </w:r>
    </w:p>
    <w:p>
      <w:pPr>
        <w:spacing w:before="0" w:after="0"/>
      </w:pPr>
      <w:r>
        <w:rPr>
          <w:b/>
        </w:rPr>
        <w:t>3. Thrifty Payless, Inc. v. Americana at Brand, 218 Cal.App.4th 1230:</w:t>
      </w:r>
      <w:r>
        <w:t xml:space="preserve"> This case applies </w:t>
      </w:r>
      <w:r>
        <w:rPr>
          <w:i/>
        </w:rPr>
        <w:t>Riverisland</w:t>
      </w:r>
      <w:r>
        <w:t xml:space="preserve"> to show that extrinsic evidence is admissible to establish the circumstances of a contract's formation (such as fraud or misrepresentation) even in the presence of an express integration clause.</w:t>
      </w:r>
    </w:p>
    <w:p>
      <w:pPr>
        <w:spacing w:before="0" w:after="0"/>
      </w:pPr>
      <w:r>
        <w:rPr>
          <w:b/>
        </w:rPr>
        <w:t>4. IIG Wireless, Inc. v. Yi, 22 Cal.App.5th 630:</w:t>
      </w:r>
      <w:r>
        <w:t xml:space="preserve"> This case emphasizes the broad scope of the </w:t>
      </w:r>
      <w:r>
        <w:rPr>
          <w:i/>
        </w:rPr>
        <w:t>Riverisland</w:t>
      </w:r>
      <w:r>
        <w:t xml:space="preserve"> holding, noting that the fraud exception permits extrinsic evidence relevant to the validity of an agreement regardless of whether that evidence is inconsistent with the written terms.</w:t>
      </w:r>
    </w:p>
    <w:p>
      <w:r>
        <w:br w:type="page"/>
      </w:r>
    </w:p>
    <w:p>
      <w:pPr>
        <w:spacing w:before="0" w:after="0"/>
      </w:pPr>
      <w:r/>
      <w:hyperlink w:anchor="significantissues">
        <w:r>
          <w:rPr/>
          <w:t xml:space="preserve">↑ Triage</w:t>
        </w:r>
      </w:hyperlink>
    </w:p>
    <w:p>
      <w:pPr>
        <w:pStyle w:val="Heading3"/>
      </w:pPr>
      <w:r>
        <w:bookmarkStart w:id="20" w:name="altavionincv14"/>
        <w:bookmarkEnd w:id="20" w:name="altavionincv14"/>
      </w:r>
      <w:r>
        <w:t>Altavion, Inc. v. Konica Minolta Sys. Lab'y, Inc. 226 Cal.App.4th 26</w:t>
      </w:r>
    </w:p>
    <w:p>
      <w:pPr>
        <w:spacing w:before="240" w:after="240"/>
      </w:pPr>
      <w:r>
        <w:rPr>
          <w:b/>
          <w:i/>
          <w:color w:val="3A0517"/>
        </w:rPr>
        <w:t>Use of Citation</w:t>
      </w:r>
      <w:r>
        <w:t xml:space="preserve"> 🔴</w:t>
      </w:r>
    </w:p>
    <w:p>
      <w:pPr>
        <w:spacing w:before="0" w:after="0"/>
      </w:pPr>
      <w:r>
        <w:t>The APPELLANTS’ CORRECTED OPENING BRIEF - R - BAND DEFENDANTS AND BROOKS (RECORD CITATIONS AND ADDING HYPERLINKS) cites Altavion, Inc. v. Konica Minolta Sys. Lab'y, Inc. to support the legal rule that prejudgment interest under Civil Code section 3288 serves a 'crucial compensatory function' by 'making the plaintiff whole by accounting for the lost use of their funds from the time of the injury' (p. 56). The citation occurs within the context of the appellants' argument that the trial court committed reversible error by failing to calculate and include mandatory prejudgment interest in the final judgment (p. 55-56). The appellants interpret the legal reasoning in Altavion as establishing that the right to such interest is a fundamental component of full compensation in fraud cases, intended to restore the plaintiff to the position they would have been in had the fraud not occurred (p. 56). The brief directly applies this concept to the present matter, arguing that the court's omission of interest deprived EFD of a 'substantial portion of its rightful recovery' and that this right exists independently of any subsequent offsets applied to the judgment (p. 56).</w:t>
      </w:r>
    </w:p>
    <w:p>
      <w:pPr>
        <w:spacing w:before="240" w:after="240"/>
      </w:pPr>
      <w:r>
        <w:rPr>
          <w:b/>
          <w:i/>
          <w:color w:val="3A0517"/>
        </w:rPr>
        <w:t>Accuracy Review</w:t>
      </w:r>
    </w:p>
    <w:p>
      <w:pPr>
        <w:spacing w:before="0" w:after="0"/>
      </w:pPr>
      <w:r>
        <w:t>The citation to Altavion, Inc. v. Konica Minolta Sys. Lab'y, Inc. in the Appellants' Brief involves a significant technical misapplication and mischaracterization regarding the nature of the interest award. The brief asserts that 'Civil Code section 3288 explicitly mandates prejudgment interest in fraud cases' and uses Altavion to bolster this claim. However, Altavion explicitly states that 'Section 3288 provided the trial court discretion to award prejudgment interest' (p. 69). This aligns with the plain language of the statute itself, which states interest 'may be given, in the discretion of the jury.' By framing a discretionary power as a mandatory requirement, the brief misrepresents the holding of Altavion and the standard of the statute it interprets. While the brief accurately applies Altavion's reasoning regarding the compensatory purpose of the interest (making the plaintiff whole for the lost use of funds), the foundational claim that the court 'erred in failing to award mandatory' interest is unsupported by the cited case. This constitutes a technical misapplication where the policy rationale is correctly captured but the legal standard (discretionary vs. mandatory) is distorted.</w:t>
      </w:r>
    </w:p>
    <w:p>
      <w:r>
        <w:br w:type="page"/>
      </w:r>
    </w:p>
    <w:p>
      <w:pPr>
        <w:spacing w:before="0" w:after="0"/>
      </w:pPr>
      <w:r/>
      <w:hyperlink w:anchor="significantissues">
        <w:r>
          <w:rPr/>
          <w:t xml:space="preserve">↑ Triage</w:t>
        </w:r>
      </w:hyperlink>
    </w:p>
    <w:p>
      <w:pPr>
        <w:pStyle w:val="Heading3"/>
      </w:pPr>
      <w:r>
        <w:bookmarkStart w:id="21" w:name="mckenzievfor15"/>
        <w:bookmarkEnd w:id="21" w:name="mckenzievfor15"/>
      </w:r>
      <w:r>
        <w:t>McKenzie v. Ford Motor Co. 238 Cal.App.4th 695</w:t>
      </w:r>
    </w:p>
    <w:p>
      <w:pPr>
        <w:spacing w:before="240" w:after="240"/>
      </w:pPr>
      <w:r>
        <w:rPr>
          <w:b/>
          <w:i/>
          <w:color w:val="3A0517"/>
        </w:rPr>
        <w:t>Use of Citation</w:t>
      </w:r>
      <w:r>
        <w:t xml:space="preserve"> 🔴</w:t>
      </w:r>
    </w:p>
    <w:p>
      <w:pPr>
        <w:spacing w:before="0" w:after="0"/>
      </w:pPr>
      <w:r>
        <w:t>In the APPELLANTS’ CORRECTED OPENING BRIEF - R - BAND DEFENDANTS AND BROOKS, the case McKenzie v. Ford Motor Co. (2015) 238 Cal.App.4th 695 is cited to establish the standard of review for the trial court's application of settlement offsets (p. 24). The legal rule supported by this citation is that the interpretation and application of Code of Civil Procedure section 877, which governs settlement offsets, presents a pure question of law subject to de novo review (p. 24). The context of this citation relates to the appellants' primary argument that the trial court committed reversible error by applying the entire Bisel settlement as an offset against the jury's fraud verdict (p. 24). The appellants interpret McKenzie as providing the authority for the Court of Appeal to independently review the trial court's legal conclusions regarding the treatment of 65 separate transactions as a single unit and its disregard of the arbitration agreement, particularly where there are no factual disputes (p. 24). The brief directly applies the de novo standard of review from McKenzie to the trial court's misapplication of the Bisel settlement offset, arguing that the court's flawed analysis disregarded the separate and distinct nature of the underlying transactions and misapplied controlling precedent (p. 24).</w:t>
      </w:r>
    </w:p>
    <w:p>
      <w:pPr>
        <w:spacing w:before="240" w:after="240"/>
      </w:pPr>
      <w:r>
        <w:rPr>
          <w:b/>
          <w:i/>
          <w:color w:val="3A0517"/>
        </w:rPr>
        <w:t>Accuracy Review</w:t>
      </w:r>
    </w:p>
    <w:p>
      <w:pPr>
        <w:spacing w:before="0" w:after="0"/>
      </w:pPr>
      <w:r>
        <w:t>The citation of McKenzie v. Ford Motor Co. in the Appellants' Brief is a technical misapplication and contextual overextension. First, McKenzie is a case about attorney fee awards under the Song-Beverly Act and the reasonableness of rejecting a settlement offer under CCP § 998; it does not address, interpret, or even mention CCP § 877, which governs offsets for settlements with joint tortfeasors. Second, the brief cites McKenzie for a 'de novo' standard of review regarding settlement offsets, yet McKenzie explicitly states on page 703 that 'We apply an abuse of discretion standard when reviewing a trial court order awarding attorney fees.' While the McKenzie court did conclude that the reasonableness of rejecting an illegal confidentiality clause was a 'matter of law' (p. 706), it did not establish a broad de novo standard for the application of settlement offsets under § 877. The brief essentially takes a specific finding of law from a fee-shifting case and incorrectly presents it as a general standard of review for a completely different statutory scheme.</w:t>
      </w:r>
    </w:p>
    <w:p>
      <w:pPr>
        <w:spacing w:before="240" w:after="240"/>
      </w:pPr>
      <w:r>
        <w:rPr>
          <w:b/>
          <w:i/>
          <w:color w:val="3A0517"/>
        </w:rPr>
        <w:t>Applicable Negative Treatment</w:t>
      </w:r>
    </w:p>
    <w:p>
      <w:pPr>
        <w:spacing w:before="0" w:after="0"/>
      </w:pPr>
      <w:r>
        <w:rPr>
          <w:b/>
        </w:rPr>
        <w:t>1. Valdovinos v. Kia Motors America, 104 Cal.App.5th 732:</w:t>
      </w:r>
      <w:r>
        <w:t xml:space="preserve"> This case distinguishes </w:t>
      </w:r>
      <w:r>
        <w:rPr>
          <w:i/>
        </w:rPr>
        <w:t>McKenzie v. Ford Motor Co.</w:t>
      </w:r>
      <w:r>
        <w:t xml:space="preserve"> by noting that it arises in a different legal context—specifically addressing the recovery of attorney fees after the rejection of a settlement offer under the Song-Beverly Consumer Warranty Act. The court in </w:t>
      </w:r>
      <w:r>
        <w:rPr>
          <w:i/>
        </w:rPr>
        <w:t>Valdovinos</w:t>
      </w:r>
      <w:r>
        <w:t xml:space="preserve"> clarifies that </w:t>
      </w:r>
      <w:r>
        <w:rPr>
          <w:i/>
        </w:rPr>
        <w:t>McKenzie</w:t>
      </w:r>
      <w:r>
        <w:t xml:space="preserve"> does not support broader legal arguments outside of that specific context, such as whether a defendant's conduct constitutes a willful violation of the Act. This limits the application of </w:t>
      </w:r>
      <w:r>
        <w:rPr>
          <w:i/>
        </w:rPr>
        <w:t>McKenzie</w:t>
      </w:r>
      <w:r>
        <w:t xml:space="preserve"> as a general authority for interpreting unrelated statutes or legal standards, such as the de novo review of Code of Civil Procedure section 877.</w:t>
      </w:r>
    </w:p>
    <w:p>
      <w:pPr>
        <w:spacing w:before="0" w:after="0"/>
      </w:pPr>
      <w:r>
        <w:rPr>
          <w:b/>
        </w:rPr>
        <w:t>2. 569 East County Boulevard LLC v. Backcountry Against the Dump, Inc., 6 Cal. App. 5th 426:</w:t>
      </w:r>
      <w:r>
        <w:t xml:space="preserve"> This case clarifies the application of the standard of review for attorney fee awards discussed in </w:t>
      </w:r>
      <w:r>
        <w:rPr>
          <w:i/>
        </w:rPr>
        <w:t>McKenzie</w:t>
      </w:r>
      <w:r>
        <w:t xml:space="preserve">. It notes that while a trial court's order is presumed correct, this presumption can include a determination that a fee request was inflated even if the court curtails the hours without providing the type of detailed analysis or "explicit reasons" that </w:t>
      </w:r>
      <w:r>
        <w:rPr>
          <w:i/>
        </w:rPr>
        <w:t>McKenzie</w:t>
      </w:r>
      <w:r>
        <w:t xml:space="preserve"> emphasized as the basis for appellate review. This nuances and limits the "explicit reasons" exception to the abuse of discretion standard relied upon in </w:t>
      </w:r>
      <w:r>
        <w:rPr>
          <w:i/>
        </w:rPr>
        <w:t>McKenzie</w:t>
      </w:r>
      <w:r>
        <w:t>.</w:t>
      </w:r>
    </w:p>
    <w:p>
      <w:pPr>
        <w:spacing w:before="240" w:after="240"/>
      </w:pPr>
      <w:r>
        <w:rPr>
          <w:b/>
          <w:i/>
          <w:color w:val="3A0517"/>
        </w:rPr>
        <w:t>Other Relevant Precedence</w:t>
      </w:r>
    </w:p>
    <w:p>
      <w:pPr>
        <w:spacing w:before="0" w:after="0"/>
      </w:pPr>
      <w:r>
        <w:rPr>
          <w:b/>
        </w:rPr>
        <w:t>1. Madrigal v. Hyundai Motor America, 17 Cal.5th 592:</w:t>
      </w:r>
      <w:r>
        <w:t xml:space="preserve"> This California Supreme Court decision is the most authoritative precedent for the interpretation of Code of Civil Procedure provisions in the context of pretrial settlements, providing a higher level of authority for statutory construction than the appellate </w:t>
      </w:r>
      <w:r>
        <w:rPr>
          <w:i/>
        </w:rPr>
        <w:t>McKenzie</w:t>
      </w:r>
      <w:r>
        <w:t xml:space="preserve"> decision.</w:t>
      </w:r>
    </w:p>
    <w:p>
      <w:pPr>
        <w:spacing w:before="0" w:after="0"/>
      </w:pPr>
      <w:r>
        <w:rPr>
          <w:b/>
        </w:rPr>
        <w:t>2. Hanna v. Mercedes-Benz USA, LLC, 36 Cal.App.5th 493:</w:t>
      </w:r>
      <w:r>
        <w:t xml:space="preserve"> This case is a jurisdictional match for the Second District, Division Three (the same court as the brief) and cites </w:t>
      </w:r>
      <w:r>
        <w:rPr>
          <w:i/>
        </w:rPr>
        <w:t>McKenzie</w:t>
      </w:r>
      <w:r>
        <w:t xml:space="preserve"> to establish the standard of review for trial court orders involving settlement offers.</w:t>
      </w:r>
    </w:p>
    <w:p>
      <w:pPr>
        <w:spacing w:before="0" w:after="0"/>
      </w:pPr>
      <w:r>
        <w:rPr>
          <w:b/>
        </w:rPr>
        <w:t>3. Etcheson v. FCA US LLC, 30 Cal.App.5th 831:</w:t>
      </w:r>
      <w:r>
        <w:t xml:space="preserve"> This case cites </w:t>
      </w:r>
      <w:r>
        <w:rPr>
          <w:i/>
        </w:rPr>
        <w:t>McKenzie</w:t>
      </w:r>
      <w:r>
        <w:t xml:space="preserve"> as "highly persuasive" and "controlling" regarding the "erroneous as a matter of law" standard when a trial court misinterprets settlement terms or offers, which is the specific proposition the brief attributes to </w:t>
      </w:r>
      <w:r>
        <w:rPr>
          <w:i/>
        </w:rPr>
        <w:t>McKenzie</w:t>
      </w:r>
      <w:r>
        <w:t>.</w:t>
      </w:r>
    </w:p>
    <w:p>
      <w:pPr>
        <w:spacing w:before="0" w:after="0"/>
      </w:pPr>
      <w:r>
        <w:rPr>
          <w:b/>
        </w:rPr>
        <w:t>4. Ignacio v. Caracciolo, 2 Cal.App.5th 81:</w:t>
      </w:r>
      <w:r>
        <w:t xml:space="preserve"> This case applies </w:t>
      </w:r>
      <w:r>
        <w:rPr>
          <w:i/>
        </w:rPr>
        <w:t>McKenzie</w:t>
      </w:r>
      <w:r>
        <w:t xml:space="preserve"> to establish that settlement offers requiring the release of claims outside the scope of the litigation are invalid, directly supporting the brief's argument that the Bisel settlement included unrelated claims and required allocation.</w:t>
      </w:r>
    </w:p>
    <w:p>
      <w:pPr>
        <w:spacing w:before="0" w:after="0"/>
      </w:pPr>
      <w:r>
        <w:rPr>
          <w:b/>
        </w:rPr>
        <w:t>5. Khosravan v. Chevron Corp., 66 Cal.App.5th 288:</w:t>
      </w:r>
      <w:r>
        <w:t xml:space="preserve"> This case cites </w:t>
      </w:r>
      <w:r>
        <w:rPr>
          <w:i/>
        </w:rPr>
        <w:t>McKenzie</w:t>
      </w:r>
      <w:r>
        <w:t xml:space="preserve"> to emphasize that settlement offers mandating the surrender of potential lawsuits against non-parties are difficult to value and potentially invalid, supporting the brief's argument regarding the separate nature of the transactions.</w:t>
      </w:r>
    </w:p>
    <w:p>
      <w:r>
        <w:br w:type="page"/>
      </w:r>
    </w:p>
    <w:p>
      <w:pPr>
        <w:spacing w:before="0" w:after="0"/>
      </w:pPr>
      <w:r/>
      <w:hyperlink w:anchor="significantissues">
        <w:r>
          <w:rPr/>
          <w:t xml:space="preserve">↑ Triage</w:t>
        </w:r>
      </w:hyperlink>
    </w:p>
    <w:p>
      <w:pPr>
        <w:pStyle w:val="Heading3"/>
      </w:pPr>
      <w:r>
        <w:bookmarkStart w:id="22" w:name="civilcode3288"/>
        <w:bookmarkEnd w:id="22" w:name="civilcode3288"/>
      </w:r>
      <w:r>
        <w:t>Civil Code § 3288</w:t>
      </w:r>
    </w:p>
    <w:p>
      <w:pPr>
        <w:spacing w:before="240" w:after="240"/>
      </w:pPr>
      <w:r>
        <w:rPr>
          <w:b/>
          <w:i/>
          <w:color w:val="3A0517"/>
        </w:rPr>
        <w:t>Use of Citation</w:t>
      </w:r>
      <w:r>
        <w:t xml:space="preserve"> 🔴</w:t>
      </w:r>
    </w:p>
    <w:p>
      <w:pPr>
        <w:spacing w:before="0" w:after="0"/>
      </w:pPr>
      <w:r>
        <w:t>The Appellants cite CA Civil Code section 3288 to support the proposition that prejudgment interest is mandatory in fraud cases and is intended to fully compensate plaintiffs for their losses (p. 55-56). The statute is used to argue that the trial court committed reversible error by failing to calculate and include this interest in the final judgment, despite the jury's fraud verdict and the plaintiffs' repeated requests and detailed calculations (p. 56). The Appellants interpret the statute as explicitly mandating interest 'from that day [the fraud was committed]...on all of the damages' (p. 56). In terms of legal reasoning, the Appellants rely on Altavion, Inc. v. Konica Minolta Sys. Lab'y, Inc. to explain that this interest serves a compensatory function by making the plaintiff whole for the lost use of funds from the time of the injury (p. 56). Furthermore, they cite Newby v. Vroman to establish that the right to prejudgment interest exists independently of any subsequent offsets, meaning the interest must be calculated on the full amount of damages awarded by the jury before applying the Bisel settlement offset (p. 56-57).</w:t>
      </w:r>
    </w:p>
    <w:p>
      <w:pPr>
        <w:spacing w:before="240" w:after="240"/>
      </w:pPr>
      <w:r>
        <w:rPr>
          <w:b/>
          <w:i/>
          <w:color w:val="3A0517"/>
        </w:rPr>
        <w:t>Accuracy Review</w:t>
      </w:r>
    </w:p>
    <w:p>
      <w:pPr>
        <w:spacing w:before="0" w:after="0"/>
      </w:pPr>
      <w:r>
        <w:t>The Appellants' citation of CA Civil Code section 3288 involves a clear mischaracterization of the law. The brief repeatedly asserts that the statute 'explicitly mandates' prejudgment interest and that such interest is 'mandatory' in fraud cases. This directly contradicts the plain text of the statute, which states that interest 'may be given' and that such an award is 'in the discretion of the jury.' By transforming a discretionary power into a mandatory requirement, the Appellants overextend the statute's authority. Additionally, the Appellants ignore the procedural limitation that the discretion belongs to the jury; since this was a jury trial where the jury apparently did not award interest in its verdict, the Appellants' claim that the trial court was 'required' to add it post-hoc is a technical misapplication of the statutory framework. While case law like Altavion suggests that interest is often appropriate to make a plaintiff whole, it does not override the discretionary nature of section 3288.</w:t>
      </w:r>
    </w:p>
    <w:p>
      <w:pPr>
        <w:spacing w:before="240" w:after="240"/>
      </w:pPr>
      <w:r>
        <w:rPr>
          <w:b/>
          <w:i/>
          <w:color w:val="3A0517"/>
        </w:rPr>
        <w:t>Use of Quotes</w:t>
      </w:r>
      <w:r>
        <w:bookmarkStart w:id="23" w:name="civilcode3288quotes"/>
        <w:bookmarkEnd w:id="23" w:name="civilcode3288quotes"/>
      </w:r>
    </w:p>
    <w:p>
      <w:pPr>
        <w:spacing w:before="240" w:after="240"/>
      </w:pPr>
      <w:r>
        <w:t xml:space="preserve">☠️ </w:t>
      </w:r>
      <w:r>
        <w:rPr>
          <w:b/>
          <w:i/>
          <w:color w:val="3A0517"/>
        </w:rPr>
        <w:t>Quote 1 - Civil Code § 3288</w:t>
      </w:r>
    </w:p>
    <w:p>
      <w:pPr>
        <w:pStyle w:val="Quote"/>
      </w:pPr>
      <w:r>
        <w:t>from that day [the fraud was committed]...on all of the damages</w:t>
      </w:r>
    </w:p>
    <w:p>
      <w:pPr>
        <w:spacing w:before="0" w:after="0"/>
      </w:pPr>
      <w:r>
        <w:t>The quote 'from that day [the fraud was committed]...on all of the damages' does not exist in CA Civil Code section 3288. The actual text of the statute makes no mention of the commencement date of the interest or the phrase 'on all of the damages.'</w:t>
      </w:r>
    </w:p>
    <w:p>
      <w:r>
        <w:br w:type="page"/>
      </w:r>
    </w:p>
    <w:p>
      <w:pPr>
        <w:spacing w:before="0" w:after="0"/>
      </w:pPr>
      <w:r/>
      <w:hyperlink w:anchor="minorissues">
        <w:r>
          <w:rPr/>
          <w:t xml:space="preserve">↑ Triage</w:t>
        </w:r>
      </w:hyperlink>
    </w:p>
    <w:p>
      <w:pPr>
        <w:pStyle w:val="Heading3"/>
      </w:pPr>
      <w:r>
        <w:bookmarkStart w:id="24" w:name="crasnickvmar18"/>
        <w:bookmarkEnd w:id="24" w:name="crasnickvmar18"/>
      </w:r>
      <w:r>
        <w:t>Crasnick v. Marquez 248 Cal.App.4th Supp. 1</w:t>
      </w:r>
    </w:p>
    <w:p>
      <w:pPr>
        <w:spacing w:before="240" w:after="240"/>
      </w:pPr>
      <w:r>
        <w:rPr>
          <w:b/>
          <w:i/>
          <w:color w:val="3A0517"/>
        </w:rPr>
        <w:t>Use of Citation</w:t>
      </w:r>
      <w:r>
        <w:t xml:space="preserve"> 🟡</w:t>
      </w:r>
    </w:p>
    <w:p>
      <w:pPr>
        <w:spacing w:before="0" w:after="0"/>
      </w:pPr>
      <w:r>
        <w:t>The brief cites Crasnick v. Marquez to support the legal rule that settlement offsets should not be applied in a manner that undermines equitable considerations (p. 37). This citation appears in the context of the appellants' argument that the trial court failed to engage in the mandatory 'equitable balancing' required by California's good faith settlement framework (p. 37). The appellants argue that the trial court's 'mechanical' application of the full Bisel settlement as an offset resulted in a 'substantial windfall' to the defendants who were found liable for fraud (p. 37). The brief interprets Crasnick as emphasizing that the primary purpose of the settlement offset statute is to ensure fairness and that the process should not be used to create an inequitable result for the plaintiff (p. 37). The brief applies the legal concept from Crasnick as a supporting principle to demonstrate that the trial court's failure to meaningfully address equitable arguments—such as the separate nature of the harms and the distinct transactions involved—constituted a failure to exercise proper discretion (p. 37, 42).</w:t>
      </w:r>
    </w:p>
    <w:p>
      <w:pPr>
        <w:spacing w:before="240" w:after="240"/>
      </w:pPr>
      <w:r>
        <w:rPr>
          <w:b/>
          <w:i/>
          <w:color w:val="3A0517"/>
        </w:rPr>
        <w:t>Accuracy Review</w:t>
      </w:r>
    </w:p>
    <w:p>
      <w:pPr>
        <w:spacing w:before="0" w:after="0"/>
      </w:pPr>
      <w:r>
        <w:t>The citation to Crasnick v. Marquez is contextually overextended. While the brief accurately captures the general principle from Crasnick that offsets are rooted in equity and should not be applied mechanically to create injustice, the case itself deals with the inherent power of the court to set off mutual judgments from independent actions, specifically in the context of protecting an attorney's lien. In contrast, the brief addresses a statutory settlement offset under CCP 877 following a jury verdict. Although the equitable underpinnings are similar, Crasnick is an Appellate Division (Superior Court) case with limited precedential weight for the Court of Appeal, especially when the brief already cites more direct authority like Abbott Ford and Garcia v. Duro Dyne for the mandatory equitable balancing required under the CCP 877 framework.</w:t>
      </w:r>
    </w:p>
    <w:p>
      <w:r>
        <w:br w:type="page"/>
      </w:r>
    </w:p>
    <w:p>
      <w:pPr>
        <w:spacing w:before="0" w:after="0"/>
      </w:pPr>
      <w:r/>
      <w:hyperlink w:anchor="minorissues">
        <w:r>
          <w:rPr/>
          <w:t xml:space="preserve">↑ Triage</w:t>
        </w:r>
      </w:hyperlink>
    </w:p>
    <w:p>
      <w:pPr>
        <w:pStyle w:val="Heading3"/>
      </w:pPr>
      <w:r>
        <w:bookmarkStart w:id="25" w:name="dellocavbank19"/>
        <w:bookmarkEnd w:id="25" w:name="dellocavbank19"/>
      </w:r>
      <w:r>
        <w:t>Dell'Oca v. Bank of New York Tr. Co. 159 Cal.App.4th 531</w:t>
      </w:r>
    </w:p>
    <w:p>
      <w:pPr>
        <w:spacing w:before="240" w:after="240"/>
      </w:pPr>
      <w:r>
        <w:rPr>
          <w:b/>
          <w:i/>
          <w:color w:val="3A0517"/>
        </w:rPr>
        <w:t>Use of Citation</w:t>
      </w:r>
      <w:r>
        <w:t xml:space="preserve"> 🟡</w:t>
      </w:r>
    </w:p>
    <w:p>
      <w:pPr>
        <w:spacing w:before="0" w:after="0"/>
      </w:pPr>
      <w:r>
        <w:t>The brief cites Dell'Oca v. Bank of New York Tr. Co. to establish several fundamental legal rules regarding the application of settlement offsets under Code of Civil Procedure section 877. First, it is cited for the rule that a settlement offset is improper when the settlement relates to claims or causes of action that are unrelated to the joint causes of action being adjudicated (p. 37). Second, the brief relies on Dell'Oca to assert that while non-settling defendants are entitled to a fair setoff, injured plaintiffs have a concurrent right to ensure that the setoff is not excessive (p. 43). Third, the case is used to define the primary interest of section 877 as the maximization of recovery to the injured party for the amount of their injury to the extent the fault of others contributed to it (p. 43). Finally, it supports the interpretation that the statute must allow the plaintiff full recovery to the extent that others are responsible for their injuries (p. 43). In the context of this matter, the appellants use Dell'Oca to challenge the trial court's decision to apply the entire $375,000 Bisel settlement as an offset against the jury's fraud verdict. They argue that because the Bisel settlement resolved distinct harms—such as a privacy lawsuit, advance payment disputes, and unrelated lease cross-complaints—the trial court's mechanical application of the full amount resulted in an excessive offset that granted the Band Pro defendants an unearned windfall (p. 37, 43). The brief interprets Dell'Oca as a mandate for equitable balancing that prioritizes the plaintiff's right to be made whole over the prevention of double recovery when the claims are divisible. The brief directly applies these concepts by arguing that the trial court's failure to allocate the settlement proceeds across the various unrelated claims constituted a failure to follow the governing principles of Dell'Oca, thereby depriving EFD of its rightful recovery (p. 43).</w:t>
      </w:r>
    </w:p>
    <w:p>
      <w:pPr>
        <w:spacing w:before="240" w:after="240"/>
      </w:pPr>
      <w:r>
        <w:rPr>
          <w:b/>
          <w:i/>
          <w:color w:val="3A0517"/>
        </w:rPr>
        <w:t>Accuracy Review</w:t>
      </w:r>
    </w:p>
    <w:p>
      <w:pPr>
        <w:spacing w:before="0" w:after="0"/>
      </w:pPr>
      <w:r>
        <w:t>The brief's citation of Dell'Oca is partially accurate but involves a degree of contextual overextension. The brief correctly identifies the policy language in Dell'Oca regarding the 'maximization of recovery' and the requirement that the statute be interpreted to allow 'full recovery' for the plaintiff. These are accurate statements of the legal principles discussed in the case. However, the brief applies these principles to argue that the offset was 'improper' because the claims were 'unrelated,' whereas the court in Dell'Oca actually leaned toward allowing the offset because it found the underlying injury (the loss of investment) was the same across all defendants, regardless of whether the theory was contract or tort. Dell'Oca does not explicitly hold that an offset is 'improper' in the way the brief suggests; rather, it remands the issue for the trial court to determine if the damages constitute a 'double recovery.' The brief uses the pro-plaintiff policy language of Dell'Oca to support a specific result (denial of offset) that the case itself did not mandate, as the Dell'Oca court ultimately prioritized the prevention of double recovery for the 'same loss.'</w:t>
      </w:r>
    </w:p>
    <w:p>
      <w:pPr>
        <w:spacing w:before="240" w:after="240"/>
      </w:pPr>
      <w:r>
        <w:rPr>
          <w:b/>
          <w:i/>
          <w:color w:val="3A0517"/>
        </w:rPr>
        <w:t>Use of Quotes</w:t>
      </w:r>
      <w:r>
        <w:bookmarkStart w:id="26" w:name="dellocavbank20"/>
        <w:bookmarkEnd w:id="26" w:name="dellocavbank20"/>
      </w:r>
    </w:p>
    <w:p>
      <w:pPr>
        <w:spacing w:before="240" w:after="240"/>
      </w:pPr>
      <w:r>
        <w:t xml:space="preserve">🟢 </w:t>
      </w:r>
      <w:r>
        <w:rPr>
          <w:b/>
          <w:i/>
          <w:color w:val="3A0517"/>
        </w:rPr>
        <w:t>Quote 1 - 560</w:t>
      </w:r>
    </w:p>
    <w:p>
      <w:pPr>
        <w:pStyle w:val="Quote"/>
      </w:pPr>
      <w:r>
        <w:t>the maximization of recovery to the injured party for the amount of his injury to the extent fault of others contributed to it</w:t>
      </w:r>
    </w:p>
    <w:p>
      <w:pPr>
        <w:spacing w:before="0" w:after="0"/>
      </w:pPr>
      <w:r>
        <w:t>The quote 'the maximization of recovery to the injured party for the amount of his injury to the extent fault of others contributed to it' exists verbatim on page 560 of the Dell'Oca opinion. It is an accurate and complete representation of one of the three policy interests the court identified as being 'at work' in CCP section 877. The brief applies it contextually to argue that the court must prioritize the plaintiff's recovery over the defendant's windfall.</w:t>
      </w:r>
    </w:p>
    <w:p>
      <w:pPr>
        <w:spacing w:before="240" w:after="240"/>
      </w:pPr>
      <w:r>
        <w:t xml:space="preserve">🟢 </w:t>
      </w:r>
      <w:r>
        <w:rPr>
          <w:b/>
          <w:i/>
          <w:color w:val="3A0517"/>
        </w:rPr>
        <w:t>Quote 1 - 560-61</w:t>
      </w:r>
    </w:p>
    <w:p>
      <w:pPr>
        <w:pStyle w:val="Quote"/>
      </w:pPr>
      <w:r>
        <w:t>must be interpreted to allow the plaintiff full recovery to the extent that others are responsible for his injuries</w:t>
      </w:r>
    </w:p>
    <w:p>
      <w:pPr>
        <w:spacing w:before="0" w:after="0"/>
      </w:pPr>
      <w:r>
        <w:t>The quote 'must be interpreted to allow the plaintiff full recovery to the extent that others are responsible for his injuries' exists on pages 560-561 of the Dell'Oca opinion. It is an accurate reproduction of the court's statement regarding the proper interpretation of CCP section 877. The brief uses it correctly to support the argument that the trial court should have ensured EFD was made whole before granting a full offset to the defendants.</w:t>
      </w:r>
    </w:p>
    <w:p>
      <w:r>
        <w:br w:type="page"/>
      </w:r>
    </w:p>
    <w:p>
      <w:pPr>
        <w:spacing w:before="0" w:after="0"/>
      </w:pPr>
      <w:r/>
      <w:hyperlink w:anchor="minorissues">
        <w:r>
          <w:rPr/>
          <w:t xml:space="preserve">↑ Triage</w:t>
        </w:r>
      </w:hyperlink>
    </w:p>
    <w:p>
      <w:pPr>
        <w:pStyle w:val="Heading3"/>
      </w:pPr>
      <w:r>
        <w:bookmarkStart w:id="27" w:name="horstmannvsh21"/>
        <w:bookmarkEnd w:id="27" w:name="horstmannvsh21"/>
      </w:r>
      <w:r>
        <w:t>Horstmann v. Sheldon 202 Cal.App.2d 184</w:t>
      </w:r>
    </w:p>
    <w:p>
      <w:pPr>
        <w:spacing w:before="240" w:after="240"/>
      </w:pPr>
      <w:r>
        <w:rPr>
          <w:b/>
          <w:i/>
          <w:color w:val="3A0517"/>
        </w:rPr>
        <w:t>Use of Citation</w:t>
      </w:r>
      <w:r>
        <w:t xml:space="preserve"> 🟡</w:t>
      </w:r>
    </w:p>
    <w:p>
      <w:pPr>
        <w:spacing w:before="0" w:after="0"/>
      </w:pPr>
      <w:r>
        <w:t>In the APPELLANTS’ CORRECTED OPENING BRIEF - R - BAND DEFENDANTS AND BROOKS, the appellants cite Horstmann v. Sheldon, 202 Cal.App.2d 184, to support the legal rule that a judgment 'should be limited to ultimate legal findings and terms necessary to enforce the parties' rights' (p. 51). The context of this citation is the appellants' challenge to the trial court's inclusion of a specific finding in the judgment that Georgina Teran lacked credibility. The appellants argue that this finding was 'gratuitous,' served 'no legal purpose,' and was included in the judgment—a document that should be reserved for essential legal conclusions—solely to damage Teran's reputation (p. 51). The brief interprets Horstmann as establishing a boundary for the appropriate content of a formal judgment, implying that evidentiary or credibility determinations that do not constitute ultimate legal findings are improper inclusions. The appellants directly apply this concept by asserting that the trial court's 'unsupported credibility finding' violates the standards for what a judgment should contain (p. 51).</w:t>
      </w:r>
    </w:p>
    <w:p>
      <w:pPr>
        <w:spacing w:before="240" w:after="240"/>
      </w:pPr>
      <w:r>
        <w:rPr>
          <w:b/>
          <w:i/>
          <w:color w:val="3A0517"/>
        </w:rPr>
        <w:t>Accuracy Review</w:t>
      </w:r>
    </w:p>
    <w:p>
      <w:pPr>
        <w:spacing w:before="0" w:after="0"/>
      </w:pPr>
      <w:r>
        <w:t>The citation to Horstmann v. Sheldon is a contextual overextension of the legal principle. While the brief accurately reflects the general distinction made in Horstmann—that a judge's memorandum opinion is not the same as the formal findings or judgment—it applies this distinction as a restrictive rule of exclusion that the case does not actually establish. Horstmann held that a party cannot rely on a judge's informal memorandum to contradict the formal judgment; it did not hold that a formal judgment is legally prohibited from containing specific factual findings or credibility determinations. The brief's assertion that a judgment 'should be limited to ultimate legal findings' is a common procedural preference, but using Horstmann to suggest that the inclusion of a credibility finding is a 'gratuitous' error that 'serves no legal purpose' goes beyond the scope of the original decision. Horstmann was concerned with which document is controlling for appeal purposes, not with setting a strict boundary on the descriptive content of the judgment itself.</w:t>
      </w:r>
    </w:p>
    <w:p>
      <w:r>
        <w:br w:type="page"/>
      </w:r>
    </w:p>
    <w:p>
      <w:pPr>
        <w:spacing w:before="0" w:after="0"/>
      </w:pPr>
      <w:r/>
      <w:hyperlink w:anchor="minorissues">
        <w:r>
          <w:rPr/>
          <w:t xml:space="preserve">↑ Triage</w:t>
        </w:r>
      </w:hyperlink>
    </w:p>
    <w:p>
      <w:pPr>
        <w:pStyle w:val="Heading3"/>
      </w:pPr>
      <w:r>
        <w:bookmarkStart w:id="28" w:name="golanvsaada122"/>
        <w:bookmarkEnd w:id="28" w:name="golanvsaada122"/>
      </w:r>
      <w:r>
        <w:t>Golan v. Saada 142 S.Ct. 1880</w:t>
      </w:r>
    </w:p>
    <w:p>
      <w:pPr>
        <w:spacing w:before="240" w:after="240"/>
      </w:pPr>
      <w:r>
        <w:rPr>
          <w:b/>
          <w:i/>
          <w:color w:val="3A0517"/>
        </w:rPr>
        <w:t>Use of Citation</w:t>
      </w:r>
      <w:r>
        <w:t xml:space="preserve"> 🟡</w:t>
      </w:r>
    </w:p>
    <w:p>
      <w:pPr>
        <w:spacing w:before="0" w:after="0"/>
      </w:pPr>
      <w:r>
        <w:t>The APPELLANTS’ CORRECTED OPENING BRIEF cites Golan v. Saada, 142 S.Ct. 1880, to support the legal rule that a court's failure to explain its discretionary decisions independently warrants reversal, emphasizing that a court must address nonfrivolous arguments (p. 42). The citation is used in the context of the trial court's alleged failure to perform the mandatory equitable balancing analysis required for settlement offsets (p. 41-42). The appellants interpret the legal reasoning in Golan as requiring a court to meaningfully engage with and address nonfrivolous arguments raised by the parties rather than dismissing them with perfunctory or conclusory statements (p. 42). The brief directly applies this concept to the trial court's conduct, arguing that the court's silence on the equitable balancing issue and its later perfunctory treatment of the requirement in the motion for a new trial constitutes an abuse of discretion (p. 42).</w:t>
      </w:r>
    </w:p>
    <w:p>
      <w:pPr>
        <w:spacing w:before="240" w:after="240"/>
      </w:pPr>
      <w:r>
        <w:rPr>
          <w:b/>
          <w:i/>
          <w:color w:val="3A0517"/>
        </w:rPr>
        <w:t>Accuracy Review</w:t>
      </w:r>
    </w:p>
    <w:p>
      <w:pPr>
        <w:spacing w:before="0" w:after="0"/>
      </w:pPr>
      <w:r>
        <w:t>The citation to Golan v. Saada in the Appellants' Brief is a Contextual Overextension. While the brief accurately quotes a general principle of judicial discretion found in the Golan opinion—that a court must address nonfrivolous arguments—it applies this principle far beyond its original context. Golan is a federal case concerning international treaty obligations and the specific procedural requirements of the Hague Convention. The Appellants use it to argue for a procedural requirement in a California state court's application of a state settlement offset statute (CCP § 877). While the general legal principle that 'discretion is not whim' is a common thread in appellate law, citing a specialized international child abduction case as the primary authority for a California trial judge's duty to explain an equitable offset is a stretch. The brief captures the 'threshold matter' language correctly, but it omits the fact that this requirement was discussed in the specific context of whether a court must evaluate 'ameliorative measures' for a child's safety. Furthermore, the brief relies on this federal authority to bypass more direct California state authorities (such as cases interpreting CCP § 632) that govern the necessity of factual findings in a statement of decision.</w:t>
      </w:r>
    </w:p>
    <w:p>
      <w:r>
        <w:br w:type="page"/>
      </w:r>
    </w:p>
    <w:p>
      <w:pPr>
        <w:spacing w:before="0" w:after="0"/>
      </w:pPr>
      <w:r/>
      <w:hyperlink w:anchor="minorissues">
        <w:r>
          <w:rPr/>
          <w:t xml:space="preserve">↑ Triage</w:t>
        </w:r>
      </w:hyperlink>
    </w:p>
    <w:p>
      <w:pPr>
        <w:pStyle w:val="Heading3"/>
      </w:pPr>
      <w:r>
        <w:bookmarkStart w:id="29" w:name="garciavdurod23"/>
        <w:bookmarkEnd w:id="29" w:name="garciavdurod23"/>
      </w:r>
      <w:r>
        <w:t>Garcia v. Duro Dyne Corp. 156 Cal.App.4th 92</w:t>
      </w:r>
    </w:p>
    <w:p>
      <w:pPr>
        <w:spacing w:before="240" w:after="240"/>
      </w:pPr>
      <w:r>
        <w:rPr>
          <w:b/>
          <w:i/>
          <w:color w:val="3A0517"/>
        </w:rPr>
        <w:t>Use of Citation</w:t>
      </w:r>
      <w:r>
        <w:t xml:space="preserve"> 🟡</w:t>
      </w:r>
    </w:p>
    <w:p>
      <w:pPr>
        <w:spacing w:before="0" w:after="0"/>
      </w:pPr>
      <w:r>
        <w:t>The brief cites Garcia v. Duro Dyne Corp. to support the legal rule that allocation is required for separate, divisible claims when applying a settlement offset (p. 37). It also cites the case for the rule that trial courts must perform a mandatory equitable balancing analysis to harmonize the competing policy goals of ensuring full compensation for injured plaintiffs and protecting settling defendants from bearing disproportionate liability (p. 42). The context of these citations is the appellants' challenge to the trial court's decision to apply a $375,000 settlement from the Bisel Defendants as a full offset against a fraud verdict, despite the settlement covering unrelated matters like a privacy lawsuit and advance payment disputes (p. 37). The brief interprets Garcia as a mandate for courts to ensure that offsets are not excessive and do not grant defendants a windfall for claims in which they were not involved (p. 37, 42). The brief directly applies Garcia to argue that the trial court's perfunctory treatment of the equitable balancing requirement and its failure to allocate the settlement proceeds constituted a reversible abuse of discretion (p. 42, 61).</w:t>
      </w:r>
    </w:p>
    <w:p>
      <w:pPr>
        <w:spacing w:before="240" w:after="240"/>
      </w:pPr>
      <w:r>
        <w:rPr>
          <w:b/>
          <w:i/>
          <w:color w:val="3A0517"/>
        </w:rPr>
        <w:t>Accuracy Review</w:t>
      </w:r>
    </w:p>
    <w:p>
      <w:pPr>
        <w:spacing w:before="0" w:after="0"/>
      </w:pPr>
      <w:r>
        <w:t>The brief’s citation of Garcia v. Duro Dyne Corp. is a contextual overextension. While Garcia (at p. 101) does discuss the public policy of 'maximization of recovery to the injured party' and the need to 'equitably share costs,' it does so specifically in the context of whether a defendant is entitled to an offset for settlement monies that have not yet been paid to the plaintiff. The brief characterizes Garcia as requiring a 'mandatory equitable balancing analysis' for the allocation of settlement proceeds between distinct causes of action (e.g., a privacy suit vs. a fraud suit). While Garcia supports the general equitable principles underlying CCP 877, it does not establish a specific procedural mandate for 'equitable balancing' in the way the brief suggests, nor is it a primary authority for the allocation of settlements across unrelated legal harms. The brief relies on Garcia to bolster a procedural requirement that is more directly derived from other cited authorities like Dillingham or Erreca's.</w:t>
      </w:r>
    </w:p>
    <w:p>
      <w:pPr>
        <w:spacing w:before="240" w:after="240"/>
      </w:pPr>
      <w:r>
        <w:rPr>
          <w:b/>
          <w:i/>
          <w:color w:val="3A0517"/>
        </w:rPr>
        <w:t>Other Relevant Precedence</w:t>
      </w:r>
    </w:p>
    <w:p>
      <w:pPr>
        <w:spacing w:before="0" w:after="0"/>
      </w:pPr>
      <w:r>
        <w:rPr>
          <w:b/>
        </w:rPr>
        <w:t>1. Hellam v. Crane Co., 239 Cal.App.4th 851:</w:t>
      </w:r>
      <w:r>
        <w:t xml:space="preserve"> This case is a more recent and highly relevant precedent that reinforces the "maximization of recovery" policy cited in the brief. It explicitly confirms that a court determining a settlement offset must prioritize the public policy of ensuring the plaintiff is fully compensated for injuries to the extent others contributed to the harm, which is central to the appellants' equitable balancing argument.</w:t>
      </w:r>
    </w:p>
    <w:p>
      <w:r>
        <w:br w:type="page"/>
      </w:r>
    </w:p>
    <w:p>
      <w:pPr>
        <w:spacing w:before="0" w:after="0"/>
      </w:pPr>
      <w:r/>
      <w:hyperlink w:anchor="minorissues">
        <w:r>
          <w:rPr/>
          <w:t xml:space="preserve">↑ Triage</w:t>
        </w:r>
      </w:hyperlink>
    </w:p>
    <w:p>
      <w:pPr>
        <w:pStyle w:val="Heading3"/>
      </w:pPr>
      <w:r>
        <w:bookmarkStart w:id="30" w:name="newbyvvroman24"/>
        <w:bookmarkEnd w:id="30" w:name="newbyvvroman24"/>
      </w:r>
      <w:r>
        <w:t>Newby v. Vroman 11 Cal.App.4th 283</w:t>
      </w:r>
    </w:p>
    <w:p>
      <w:pPr>
        <w:spacing w:before="240" w:after="240"/>
      </w:pPr>
      <w:r>
        <w:rPr>
          <w:b/>
          <w:i/>
          <w:color w:val="3A0517"/>
        </w:rPr>
        <w:t>Use of Citation</w:t>
      </w:r>
      <w:r>
        <w:t xml:space="preserve"> 🟡</w:t>
      </w:r>
    </w:p>
    <w:p>
      <w:pPr>
        <w:spacing w:before="0" w:after="0"/>
      </w:pPr>
      <w:r>
        <w:t>The brief cites Newby v. Vroman to support the legal rule that the right to prejudgment interest exists independently of any subsequent offset or reduction in the final judgment amount (p. 56). Specifically, it is cited for the proposition that prejudgment interest must be calculated on the full amount of damages before applying a settlement offset (p. 56). In the context of this case, the appellants argue that the trial court's failure to calculate and include prejudgment interest was a reversible error because Civil Code section 3288 mandates such interest in fraud cases to make the plaintiff whole (p. 55-56). The brief interprets Newby as establishing that the compensatory function of interest—accounting for the lost use of funds—is not diminished by a later offset (p. 56). The brief directly applies this concept to argue that the trial court should have calculated interest based on the full jury award before applying the Bisel settlement offset, ensuring EFD received the full compensation entitled by law (p. 57).</w:t>
      </w:r>
    </w:p>
    <w:p>
      <w:pPr>
        <w:spacing w:before="240" w:after="240"/>
      </w:pPr>
      <w:r>
        <w:rPr>
          <w:b/>
          <w:i/>
          <w:color w:val="3A0517"/>
        </w:rPr>
        <w:t>Accuracy Review</w:t>
      </w:r>
    </w:p>
    <w:p>
      <w:pPr>
        <w:spacing w:before="0" w:after="0"/>
      </w:pPr>
      <w:r>
        <w:t>The brief accurately identifies Newby as the controlling authority for the principle that settlement offsets do not negate the right to prejudgment interest on the original loss. This aligns with Newby's policy of maximizing plaintiff recovery and recognizing interest as a compensatory element for the loss of use of funds. However, the brief provides an incomplete application of the Newby rule. While it correctly states that interest is calculated on the full damages 'before applying settlement offset,' it omits Newby's specific two-step formula: interest accrues on the full amount only until the date the settlement is paid, after which it accrues only on the net principal balance. Because the brief requests that the trial court calculate interest 'based on the full amount of damages awarded by the jury' without acknowledging the temporal limitation imposed by the date of the Bisel settlement, it overextends the holding to suggest interest runs on the full amount for the entire prejudgment period.</w:t>
      </w:r>
    </w:p>
    <w:p>
      <w:pPr>
        <w:spacing w:before="240" w:after="240"/>
      </w:pPr>
      <w:r>
        <w:rPr>
          <w:b/>
          <w:i/>
          <w:color w:val="3A0517"/>
        </w:rPr>
        <w:t>Other Relevant Precedence</w:t>
      </w:r>
    </w:p>
    <w:p>
      <w:pPr>
        <w:spacing w:before="0" w:after="0"/>
      </w:pPr>
      <w:r>
        <w:rPr>
          <w:b/>
        </w:rPr>
        <w:t>1. Deocampo v. Ahn, 101 Cal.App.4th 758:</w:t>
      </w:r>
      <w:r>
        <w:t xml:space="preserve"> This Second Appellate District case provides a direct jurisdictional match and specifically adopts the </w:t>
      </w:r>
      <w:r>
        <w:rPr>
          <w:i/>
        </w:rPr>
        <w:t>Newby</w:t>
      </w:r>
      <w:r>
        <w:t xml:space="preserve"> "two-step" calculation method. It affirms that prejudgment interest should be calculated on the entire award prior to deducting settlements to ensure full compensation for the loss of use of funds, directly supporting the calculation argument in Section VIII of the brief.</w:t>
      </w:r>
    </w:p>
    <w:p>
      <w:pPr>
        <w:spacing w:before="0" w:after="0"/>
      </w:pPr>
      <w:r>
        <w:rPr>
          <w:b/>
        </w:rPr>
        <w:t>2. North Oakland Medical Clinic v. Rogers, 65 Cal.App.4th 824:</w:t>
      </w:r>
      <w:r>
        <w:t xml:space="preserve"> This case is more on-point regarding the procedural requirements and due process considerations for requesting prejudgment interest post-trial. It addresses the timing and notice necessary for such awards, which is relevant to the brief's contention that the trial court erred by failing to award interest despite the detailed calculations provided in post-trial motions.</w:t>
      </w:r>
    </w:p>
    <w:p>
      <w:r>
        <w:br w:type="page"/>
      </w:r>
    </w:p>
    <w:p>
      <w:pPr>
        <w:spacing w:before="0" w:after="0"/>
      </w:pPr>
      <w:r/>
      <w:hyperlink w:anchor="minorissues">
        <w:r>
          <w:rPr/>
          <w:t xml:space="preserve">↑ Triage</w:t>
        </w:r>
      </w:hyperlink>
    </w:p>
    <w:p>
      <w:pPr>
        <w:pStyle w:val="Heading3"/>
      </w:pPr>
      <w:r>
        <w:bookmarkStart w:id="31" w:name="peoplevpacla25"/>
        <w:bookmarkEnd w:id="31" w:name="peoplevpacla25"/>
      </w:r>
      <w:r>
        <w:t>People v. Pac. Land Research Co. 20 Cal.3d 10</w:t>
      </w:r>
    </w:p>
    <w:p>
      <w:pPr>
        <w:spacing w:before="240" w:after="240"/>
      </w:pPr>
      <w:r>
        <w:rPr>
          <w:b/>
          <w:i/>
          <w:color w:val="3A0517"/>
        </w:rPr>
        <w:t>Use of Citation</w:t>
      </w:r>
      <w:r>
        <w:t xml:space="preserve"> 🟡</w:t>
      </w:r>
    </w:p>
    <w:p>
      <w:pPr>
        <w:spacing w:before="0" w:after="0"/>
      </w:pPr>
      <w:r>
        <w:t>The Appellants’ Corrected Opening Brief cites People v. Pac. Land Research Co. (1977) 20 Cal.3d 10 to support the legal rule that injunctive relief is mandatory under Business and Professions Code section 17200 (the Unfair Competition Law or UCL) to prevent future violations once a court has found that a defendant engaged in unlawful activity (p. 52). In the context of this matter, the appellants use the case to challenge the trial court's denial of relief under Section 17200 despite the court's explicit finding that Direct Video Warehouse, Inc. (DVWI) was liable for unlicensed lending activity (p. 52). The appellants interpret the legal reasoning in People v. Pac. Land Research Co. as establishing that a finding of liability for illegal activity should have 'automatically triggered mandatory injunctive relief' (p. 52). The brief directly applies this legal concept to the facts of the case, arguing that the trial court's refusal to grant an injunction or other remedies after acknowledging DVWI's statutory violation constitutes both an abuse of discretion and a legal error that undermines the remedial purpose of the UCL (p. 52).</w:t>
      </w:r>
    </w:p>
    <w:p>
      <w:pPr>
        <w:spacing w:before="240" w:after="240"/>
      </w:pPr>
      <w:r>
        <w:rPr>
          <w:b/>
          <w:i/>
          <w:color w:val="3A0517"/>
        </w:rPr>
        <w:t>Accuracy Review</w:t>
      </w:r>
    </w:p>
    <w:p>
      <w:pPr>
        <w:spacing w:before="0" w:after="0"/>
      </w:pPr>
      <w:r>
        <w:t>The citation to People v. Pac. Land Research Co. is a contextual overextension and an incomplete application of the legal principles. While the brief correctly identifies the 'purpose' of injunctive relief under the UCL as described in Pacific Land (to prevent future violations), it mischaracterizes the holding by claiming such relief is 'mandatory' and 'automatically triggered.' The actual text of Pacific Land on page 17 describes the nature of the People's law enforcement action to distinguish it from private class actions; it does not strip the trial court of the equitable discretion inherent in the UCL statute (Section 17203), which states the court 'may' make such orders. Furthermore, the brief fails to account for the fact that Pacific Land involved a public enforcement action by the Attorney General, whereas the current matter is a private dispute. Courts often distinguish the remedial mandates of public prosecutors from those of private litigants, making the 'mandatory' claim an overreach of the cited authority's specific reasoning regarding the public interest.</w:t>
      </w:r>
    </w:p>
    <w:p>
      <w:pPr>
        <w:spacing w:before="240" w:after="240"/>
      </w:pPr>
      <w:r>
        <w:rPr>
          <w:b/>
          <w:i/>
          <w:color w:val="3A0517"/>
        </w:rPr>
        <w:t>Other Relevant Precedence</w:t>
      </w:r>
    </w:p>
    <w:p>
      <w:pPr>
        <w:spacing w:before="0" w:after="0"/>
      </w:pPr>
      <w:r>
        <w:rPr>
          <w:b/>
        </w:rPr>
        <w:t>1. IT Corp. v. County of Imperial, 35 Cal.3d 63:</w:t>
      </w:r>
      <w:r>
        <w:t xml:space="preserve"> This Supreme Court case is the primary authority for the standard of granting injunctions in the context of statutory violations, clarifying and expanding upon the principles in </w:t>
      </w:r>
      <w:r>
        <w:rPr>
          <w:i/>
        </w:rPr>
        <w:t>Pacific Land Research Co.</w:t>
      </w:r>
      <w:r>
        <w:t xml:space="preserve"> regarding the presumption of public harm and the limited discretion of the trial court when a legislative body has already determined an activity is contrary to the public interest.</w:t>
      </w:r>
    </w:p>
    <w:p>
      <w:pPr>
        <w:spacing w:before="0" w:after="0"/>
      </w:pPr>
      <w:r>
        <w:rPr>
          <w:b/>
        </w:rPr>
        <w:t>2. People v. Toomey, 157 Cal.App.3d 1:</w:t>
      </w:r>
      <w:r>
        <w:t xml:space="preserve"> This case is highly relevant as it discusses the trial court's broad authority and duty to fashion effective remedies under the UCL once a violation is established, directly addressing the Appellants' argument that the court erred by denying all relief (injunctive and restitutionary) after finding liability.</w:t>
      </w:r>
    </w:p>
    <w:p>
      <w:pPr>
        <w:spacing w:before="0" w:after="0"/>
      </w:pPr>
      <w:r>
        <w:rPr>
          <w:b/>
        </w:rPr>
        <w:t>3. State v. Altus Finance, S.A., 36 Cal.4th 1284:</w:t>
      </w:r>
      <w:r>
        <w:t xml:space="preserve"> This case provides a more recent Supreme Court analysis of the distinction between the various remedies available under the UCL (injunctions, penalties, and restitution), which is central to the Appellants' claim that the court failed to provide any of the available relief despite a finding of unlawful activity.</w:t>
      </w:r>
    </w:p>
    <w:p>
      <w:pPr>
        <w:spacing w:before="0" w:after="0"/>
      </w:pPr>
      <w:r>
        <w:rPr>
          <w:b/>
        </w:rPr>
        <w:t>4. Arias v. Superior Court, 46 Cal.4th 969:</w:t>
      </w:r>
      <w:r>
        <w:t xml:space="preserve"> This case clarifies the "law enforcement" nature of UCL actions, even when brought by private parties, which is relevant to the Appellants' reliance on </w:t>
      </w:r>
      <w:r>
        <w:rPr>
          <w:i/>
        </w:rPr>
        <w:t>Pacific Land Research Co.</w:t>
      </w:r>
      <w:r>
        <w:t xml:space="preserve"> (a public prosecutor case) to support their private claim for mandatory relief.</w:t>
      </w:r>
    </w:p>
    <w:p>
      <w:pPr>
        <w:spacing w:before="0" w:after="0"/>
      </w:pPr>
      <w:r>
        <w:rPr>
          <w:b/>
        </w:rPr>
        <w:t>5. People v. Uber Technologies, Inc., 56 Cal.App.5th 266:</w:t>
      </w:r>
      <w:r>
        <w:t xml:space="preserve"> This recent case applies the </w:t>
      </w:r>
      <w:r>
        <w:rPr>
          <w:i/>
        </w:rPr>
        <w:t>Pacific Land</w:t>
      </w:r>
      <w:r>
        <w:t xml:space="preserve"> and </w:t>
      </w:r>
      <w:r>
        <w:rPr>
          <w:i/>
        </w:rPr>
        <w:t>IT Corp.</w:t>
      </w:r>
      <w:r>
        <w:t xml:space="preserve"> standards to a modern UCL enforcement action, specifically addressing the evidentiary requirements for showing irreparable harm and the necessity of injunctive relief to protect the public interest.</w:t>
      </w:r>
    </w:p>
    <w:p>
      <w:r>
        <w:br w:type="page"/>
      </w:r>
    </w:p>
    <w:p>
      <w:pPr>
        <w:spacing w:before="0" w:after="0"/>
      </w:pPr>
      <w:r/>
      <w:hyperlink w:anchor="minorissues">
        <w:r>
          <w:rPr/>
          <w:t xml:space="preserve">↑ Triage</w:t>
        </w:r>
      </w:hyperlink>
    </w:p>
    <w:p>
      <w:pPr>
        <w:pStyle w:val="Heading3"/>
      </w:pPr>
      <w:r>
        <w:bookmarkStart w:id="32" w:name="paclegalfoun26"/>
        <w:bookmarkEnd w:id="32" w:name="paclegalfoun26"/>
      </w:r>
      <w:r>
        <w:t>Pac. Legal Found. v. Cal. Coastal Comm'n 33 Cal.3d 158</w:t>
      </w:r>
    </w:p>
    <w:p>
      <w:pPr>
        <w:spacing w:before="240" w:after="240"/>
      </w:pPr>
      <w:r>
        <w:rPr>
          <w:b/>
          <w:i/>
          <w:color w:val="3A0517"/>
        </w:rPr>
        <w:t>Use of Citation</w:t>
      </w:r>
      <w:r>
        <w:t xml:space="preserve"> 🟡</w:t>
      </w:r>
    </w:p>
    <w:p>
      <w:pPr>
        <w:spacing w:before="0" w:after="0"/>
      </w:pPr>
      <w:r>
        <w:t>In the APPELLANTS’ CORRECTED OPENING BRIEF - R - BAND DEFENDANTS AND BROOKS, the case Pac. Legal Found. v. Cal. Coastal Comm'n (1982) 33 Cal.3d 158 is cited to support the legal rule that courts are only authorized to resolve actual controversies and must not offer advisory opinions on moot points (p. 58). The citation appears within Section IX, where the appellants challenge the trial court's inclusion of extensive factual findings regarding the 'unclean hands' defense (p. 57-58). Although the trial court ultimately rejected the unclean hands defense, it still included factual findings supporting that defense in the judgment (p. 57). The appellants employ analogical reasoning to argue that because the defense was rejected, the factual issues underlying it became moot; therefore, by including those findings, the trial court exceeded its authority and issued an improper advisory opinion (p. 58). The brief interprets Pac. Legal Found. v. Cal. Coastal Comm'n as a jurisdictional or procedural limit on a court's power to delve into factual determinations that do not affect the final outcome of a live controversy (p. 58). The appellants directly apply this concept to the trial court's actions, asserting that the inclusion of these findings created unnecessary confusion and reinforced a perception of bias against the plaintiffs (p. 58).</w:t>
      </w:r>
    </w:p>
    <w:p>
      <w:pPr>
        <w:spacing w:before="240" w:after="240"/>
      </w:pPr>
      <w:r>
        <w:rPr>
          <w:b/>
          <w:i/>
          <w:color w:val="3A0517"/>
        </w:rPr>
        <w:t>Accuracy Review</w:t>
      </w:r>
    </w:p>
    <w:p>
      <w:pPr>
        <w:spacing w:before="0" w:after="0"/>
      </w:pPr>
      <w:r>
        <w:t>The citation to 'Pac. Legal Found. v. Cal. Coastal Comm'n' in the 'Appellants’ Corrected Opening Brief' is a contextual overextension of the cited case's holding. While the brief accurately states the general principle that courts resolve actual controversies rather than offering advisory opinions on moot points, it applies this rule to a trial court's factual findings within a live litigation context. In 'Pacific Legal Foundation', the Supreme Court was dealing with the ripeness of a facial challenge to administrative guidelines where no specific permit had been denied—a jurisdictional issue regarding whether a lawsuit could proceed at all. In contrast, the trial court in the present matter was adjudicating a live case with a full evidentiary record. The appellants use 'Pacific Legal Foundation' to argue that a trial court's specific factual findings on an equitable defense (unclean hands) become 'advisory' or 'moot' simply because the court ultimately ruled that the defense did not bar recovery. This conflates the doctrine of ripeness/justiciability (which limits the types of cases courts can hear) with the procedural propriety of a statement of decision or judgment. While the inclusion of findings that contradict a jury verdict may be legal error under 'Hoopes v. Dolan', characterizing them as 'advisory opinions' under the 'Pacific Legal Foundation' framework overextends a rule designed to prevent premature litigation into a rule governing the internal consistency of a final judgment.</w:t>
      </w:r>
    </w:p>
    <w:p>
      <w:pPr>
        <w:spacing w:before="240" w:after="240"/>
      </w:pPr>
      <w:r>
        <w:rPr>
          <w:b/>
          <w:i/>
          <w:color w:val="3A0517"/>
        </w:rPr>
        <w:t>Applicable Negative Treatment</w:t>
      </w:r>
    </w:p>
    <w:p>
      <w:pPr>
        <w:spacing w:before="0" w:after="0"/>
      </w:pPr>
      <w:r>
        <w:rPr>
          <w:b/>
        </w:rPr>
        <w:t>1. Wonderful Nurseries, LLC v. Agricultural Labor Relations Board, No. F088515 (Ct. App. Nov. 25, 2025):</w:t>
      </w:r>
      <w:r>
        <w:t xml:space="preserve"> This case clarifies that the ripeness doctrine discussed in </w:t>
      </w:r>
      <w:r>
        <w:rPr>
          <w:i/>
        </w:rPr>
        <w:t>Pacific Legal Foundation</w:t>
      </w:r>
      <w:r>
        <w:t xml:space="preserve"> is a prudential rule rather than a jurisdictional limitation. This limits the application of the case where it is used to argue that a trial court "exceeded its authority" or was "not authorized" to make certain factual findings, as the brief contends on page 58.</w:t>
      </w:r>
    </w:p>
    <w:p>
      <w:pPr>
        <w:spacing w:before="0" w:after="0"/>
      </w:pPr>
      <w:r>
        <w:rPr>
          <w:b/>
        </w:rPr>
        <w:t>2. Communities for a Better Environment v. State Energy Resources Conservation &amp; Development Com. (2017) 19 Cal.App.5th 725:</w:t>
      </w:r>
      <w:r>
        <w:t xml:space="preserve"> This case limits the scope of the ripeness doctrine by establishing that a specific factual context is not always required for judicial resolution, particularly for constitutional questions. It further provides that the rule against advisory opinions should not be applied where a deferred decision would result in lingering legal uncertainty or where there is widespread public interest, creating a significant exception to the general principle relied upon by the brief.</w:t>
      </w:r>
    </w:p>
    <w:p>
      <w:pPr>
        <w:spacing w:before="0" w:after="0"/>
      </w:pPr>
      <w:r>
        <w:rPr>
          <w:b/>
        </w:rPr>
        <w:t>3. Environmental Defense Project v. County of Sierra (2008) 158 Cal.App.4th 877:</w:t>
      </w:r>
      <w:r>
        <w:t xml:space="preserve"> This opinion is identified as treating </w:t>
      </w:r>
      <w:r>
        <w:rPr>
          <w:i/>
        </w:rPr>
        <w:t>Pacific Legal Foundation</w:t>
      </w:r>
      <w:r>
        <w:t xml:space="preserve"> negatively by distinguishing its facts to find that an "actual controversy" exists even without a specific application of a challenged policy. This limits the application of the "advisory opinion" bar by allowing for declaratory relief in situations where an agency has demonstrated its interpretation through past actions and intent to continue.</w:t>
      </w:r>
    </w:p>
    <w:p>
      <w:pPr>
        <w:spacing w:before="0" w:after="0"/>
      </w:pPr>
      <w:r>
        <w:rPr>
          <w:b/>
        </w:rPr>
        <w:t>4. Golden Door Properties, LLC v. County of San Diego (2018) 27 Cal.App.5th 892:</w:t>
      </w:r>
      <w:r>
        <w:t xml:space="preserve"> This case distinguishes </w:t>
      </w:r>
      <w:r>
        <w:rPr>
          <w:i/>
        </w:rPr>
        <w:t>Pacific Legal Foundation</w:t>
      </w:r>
      <w:r>
        <w:t xml:space="preserve"> and limits its application by holding that challenges to administrative guidelines are ripe for review when the guidelines establish thresholds for routine application, rather than flexible, case-by-case standards. This narrows the circumstances under which a controversy is deemed "abstract" or "speculative" under the </w:t>
      </w:r>
      <w:r>
        <w:rPr>
          <w:i/>
        </w:rPr>
        <w:t>Pacific Legal Foundation</w:t>
      </w:r>
      <w:r>
        <w:t xml:space="preserve"> framework.</w:t>
      </w:r>
    </w:p>
    <w:p>
      <w:pPr>
        <w:spacing w:before="240" w:after="240"/>
      </w:pPr>
      <w:r>
        <w:rPr>
          <w:b/>
          <w:i/>
          <w:color w:val="3A0517"/>
        </w:rPr>
        <w:t>Other Relevant Precedence</w:t>
      </w:r>
    </w:p>
    <w:p>
      <w:pPr>
        <w:spacing w:before="0" w:after="0"/>
      </w:pPr>
      <w:r>
        <w:rPr>
          <w:b/>
        </w:rPr>
        <w:t>1. Regan Roofing Co. v. Superior Court, 24 Cal. App. 4th 425:</w:t>
      </w:r>
      <w:r>
        <w:t xml:space="preserve"> This case is highly on-point as it characterizes a trial court's ruling as having "advisory qualities" when it fails to dispose of an entire cause of action or affirmative defense, directly supporting the argument that findings on a rejected (and thus non-dispositive) defense are improper.</w:t>
      </w:r>
    </w:p>
    <w:p>
      <w:pPr>
        <w:spacing w:before="0" w:after="0"/>
      </w:pPr>
      <w:r>
        <w:rPr>
          <w:b/>
        </w:rPr>
        <w:t>2. Catlin Ins. Co. v. Danko Meredith Law Firm, 73 Cal.App.5th 764:</w:t>
      </w:r>
      <w:r>
        <w:t xml:space="preserve"> This case reinforces the principle that trial courts should avoid issuing advisory opinions on abstract questions, specifically affirming a trial court's refusal to rule on a matter that had not yet ripened into a formal request for relief.</w:t>
      </w:r>
    </w:p>
    <w:p>
      <w:pPr>
        <w:spacing w:before="0" w:after="0"/>
      </w:pPr>
      <w:r>
        <w:rPr>
          <w:b/>
        </w:rPr>
        <w:t>3. Fiske v. Gillespie, 200 Cal. App. 3d 1243:</w:t>
      </w:r>
      <w:r>
        <w:t xml:space="preserve"> This case provides a clear jurisdictional match for the proposition that California courts lack the power to render advisory opinions where no actual controversy exists, which is the core of the appellants' challenge to the trial court's findings on a moot defense.</w:t>
      </w:r>
    </w:p>
    <w:p>
      <w:pPr>
        <w:spacing w:before="0" w:after="0"/>
      </w:pPr>
      <w:r>
        <w:rPr>
          <w:b/>
        </w:rPr>
        <w:t>4. Neary v. Regents of University of California, 3 Cal. 4th 273:</w:t>
      </w:r>
      <w:r>
        <w:t xml:space="preserve"> This Supreme Court of California case emphasizes that the primary function of the judiciary is to resolve actual disputes between litigants rather than abstract legal issues, providing authoritative support for limiting judicial findings to live controversies.</w:t>
      </w:r>
    </w:p>
    <w:p>
      <w:r>
        <w:br w:type="page"/>
      </w:r>
    </w:p>
    <w:p>
      <w:pPr>
        <w:spacing w:before="0" w:after="0"/>
      </w:pPr>
      <w:r/>
      <w:hyperlink w:anchor="minorissues">
        <w:r>
          <w:rPr/>
          <w:t xml:space="preserve">↑ Triage</w:t>
        </w:r>
      </w:hyperlink>
    </w:p>
    <w:p>
      <w:pPr>
        <w:pStyle w:val="Heading3"/>
      </w:pPr>
      <w:r>
        <w:bookmarkStart w:id="33" w:name="wadevschrade27"/>
        <w:bookmarkEnd w:id="33" w:name="wadevschrade27"/>
      </w:r>
      <w:r>
        <w:t>Wade v. Schrader 168 Cal.App.4th 1039</w:t>
      </w:r>
    </w:p>
    <w:p>
      <w:pPr>
        <w:spacing w:before="240" w:after="240"/>
      </w:pPr>
      <w:r>
        <w:rPr>
          <w:b/>
          <w:i/>
          <w:color w:val="3A0517"/>
        </w:rPr>
        <w:t>Use of Citation</w:t>
      </w:r>
      <w:r>
        <w:t xml:space="preserve"> 🟡</w:t>
      </w:r>
    </w:p>
    <w:p>
      <w:pPr>
        <w:spacing w:before="0" w:after="0"/>
      </w:pPr>
      <w:r>
        <w:t>In the APPELLANTS’ CORRECTED OPENING BRIEF - R - BAND DEFENDANTS AND BROOKS, the case Wade v. Schrader (2008) 168 Cal.App.4th 1039 is cited to support the legal rule that a settlement offset must align with principles of fairness and equity (p. 37). The citation appears within Section I.E, titled 'Misapplication of the Offset and Failure to Allocate,' where the appellants argue that the trial court's failure to engage in equitable balancing resulted in a 'manifestly unjust outcome' (p. 37). The appellants interpret Wade v. Schrader as establishing that the application of a good faith settlement offset is not a mechanical process but one that must be guided by equitable considerations to ensure that the resulting judgment is fair to all parties. The brief applies this concept by arguing that the trial court's decision to grant the Band Pro defendants a full offset for a settlement involving unrelated claims (such as a privacy lawsuit and separate lease disputes) allowed them to escape financial responsibility for their fraud, thereby violating the equitable standards suggested by Wade v. Schrader (p. 37). The case is used as a supporting example of the broader requirement for courts to perform 'equitable balancing' when determining the scope of a settlement offset (p. 37).</w:t>
      </w:r>
    </w:p>
    <w:p>
      <w:pPr>
        <w:spacing w:before="240" w:after="240"/>
      </w:pPr>
      <w:r>
        <w:rPr>
          <w:b/>
          <w:i/>
          <w:color w:val="3A0517"/>
        </w:rPr>
        <w:t>Accuracy Review</w:t>
      </w:r>
    </w:p>
    <w:p>
      <w:pPr>
        <w:spacing w:before="0" w:after="0"/>
      </w:pPr>
      <w:r>
        <w:t>The citation to Wade v. Schrader is partially accurate but contextually overextended. While Wade does state that the application of a settlement credit is an exercise of the court's 'equitable discretion,' the Appellants use this phrase to suggest a mandatory 'equitable balancing' test that would require the court to limit or allocate the offset in favor of the plaintiff's recovery. In contrast, the court in Wade used the 'equitable' label to justify granting a full offset to the defendants to prevent the plaintiff from being 'enriched unjustly by a double recovery.' Furthermore, Wade involved a single injury where the settlement and judgment clearly overlapped, whereas the Appellants are arguing that the harms in their case are separate and distinct. The Appellants rely on Wade's general language regarding equity to support a specific multi-factor balancing requirement that Wade itself does not define or apply in the context of separate torts.</w:t>
      </w:r>
    </w:p>
    <w:p>
      <w:pPr>
        <w:spacing w:before="240" w:after="240"/>
      </w:pPr>
      <w:r>
        <w:rPr>
          <w:b/>
          <w:i/>
          <w:color w:val="3A0517"/>
        </w:rPr>
        <w:t>Applicable Negative Treatment</w:t>
      </w:r>
    </w:p>
    <w:p>
      <w:pPr>
        <w:spacing w:before="0" w:after="0"/>
      </w:pPr>
      <w:r>
        <w:rPr>
          <w:b/>
        </w:rPr>
        <w:t>1. Goodman v. Lozano, 47 Cal. 4th 1327:</w:t>
      </w:r>
      <w:r>
        <w:t xml:space="preserve"> This California Supreme Court decision limits the procedural flexibility and equitable discretion suggested in </w:t>
      </w:r>
      <w:r>
        <w:rPr>
          <w:i/>
        </w:rPr>
        <w:t>Wade</w:t>
      </w:r>
      <w:r>
        <w:t xml:space="preserve"> by establishing that a CCP § 877 settlement offset must be applied before the entry of judgment to determine "prevailing party" status under CCP § 1032. It holds that a plaintiff whose award is reduced to zero by such an offset is not the prevailing party as a matter of law, effectively restricting the trial court's "equitable" discretion to reach a different result regarding costs and prevailing party status.</w:t>
      </w:r>
    </w:p>
    <w:p>
      <w:pPr>
        <w:spacing w:before="0" w:after="0"/>
      </w:pPr>
      <w:r>
        <w:rPr>
          <w:b/>
        </w:rPr>
        <w:t>2. Walton v. Mueller, 180 Cal. App. 4th 161:</w:t>
      </w:r>
      <w:r>
        <w:t xml:space="preserve"> This case limits the application of </w:t>
      </w:r>
      <w:r>
        <w:rPr>
          <w:i/>
        </w:rPr>
        <w:t>Wade</w:t>
      </w:r>
      <w:r>
        <w:t xml:space="preserve"> by clarifying that the statutory procedure for satisfaction of judgment (CCP § 724.010 et seq.) is the exclusive and appropriate mechanism for balancing offsetting judgments, and that other procedural vehicles, such as a motion under CCP § 664.6, are not available for the relief described in </w:t>
      </w:r>
      <w:r>
        <w:rPr>
          <w:i/>
        </w:rPr>
        <w:t>Wade</w:t>
      </w:r>
      <w:r>
        <w:t>.</w:t>
      </w:r>
    </w:p>
    <w:p>
      <w:pPr>
        <w:spacing w:before="240" w:after="240"/>
      </w:pPr>
      <w:r>
        <w:rPr>
          <w:b/>
          <w:i/>
          <w:color w:val="3A0517"/>
        </w:rPr>
        <w:t>Other Relevant Precedence</w:t>
      </w:r>
    </w:p>
    <w:p>
      <w:pPr>
        <w:spacing w:before="0" w:after="0"/>
      </w:pPr>
      <w:r>
        <w:rPr>
          <w:b/>
        </w:rPr>
        <w:t>1. Goodman v. Lozano, 47 Cal. 4th 1327:</w:t>
      </w:r>
      <w:r>
        <w:t xml:space="preserve"> This California Supreme Court case is the controlling authority on the application of Code of Civil Procedure section 877. It provides a definitive interpretation of how settlement credits are calculated and, crucially, how they impact "prevailing party" status—a central theme of the Appellants' brief.</w:t>
      </w:r>
    </w:p>
    <w:p>
      <w:pPr>
        <w:spacing w:before="0" w:after="0"/>
      </w:pPr>
      <w:r>
        <w:rPr>
          <w:b/>
        </w:rPr>
        <w:t>2. Jhaveri v. Teitelbaum, 176 Cal. App. 4th 740:</w:t>
      </w:r>
      <w:r>
        <w:t xml:space="preserve"> This is a Second District Court of Appeal case, providing a direct jurisdictional match for the Appellants' brief. It cites </w:t>
      </w:r>
      <w:r>
        <w:rPr>
          <w:i/>
        </w:rPr>
        <w:t>Wade</w:t>
      </w:r>
      <w:r>
        <w:t xml:space="preserve"> to reinforce that applying a settlement credit is an exercise of the trial court's equitable discretion and that setoffs are rooted in the equitable principle of striking a balance between mutual debts.</w:t>
      </w:r>
    </w:p>
    <w:p>
      <w:pPr>
        <w:spacing w:before="0" w:after="0"/>
      </w:pPr>
      <w:r>
        <w:rPr>
          <w:b/>
        </w:rPr>
        <w:t>3. Collins v. County of San Diego, 60 Cal. App. 5th 1035:</w:t>
      </w:r>
      <w:r>
        <w:t xml:space="preserve"> This case provides a more recent and detailed explanation of the dual standard of review for settlement credits under section 877. It clarifies when an appellate court should apply the deferential abuse of discretion standard versus the independent (de novo) standard of review, which is directly relevant to the Appellants' "Standard of Review" section.</w:t>
      </w:r>
    </w:p>
    <w:p>
      <w:r>
        <w:br w:type="page"/>
      </w:r>
    </w:p>
    <w:p>
      <w:pPr>
        <w:spacing w:before="0" w:after="0"/>
      </w:pPr>
      <w:r/>
      <w:hyperlink w:anchor="minorissues">
        <w:r>
          <w:rPr/>
          <w:t xml:space="preserve">↑ Triage</w:t>
        </w:r>
      </w:hyperlink>
    </w:p>
    <w:p>
      <w:pPr>
        <w:pStyle w:val="Heading3"/>
      </w:pPr>
      <w:r>
        <w:bookmarkStart w:id="34" w:name="peoplevtoome28"/>
        <w:bookmarkEnd w:id="34" w:name="peoplevtoome28"/>
      </w:r>
      <w:r>
        <w:t>People v. Toomey 157 Cal.App.3d 1</w:t>
      </w:r>
    </w:p>
    <w:p>
      <w:pPr>
        <w:spacing w:before="240" w:after="240"/>
      </w:pPr>
      <w:r>
        <w:rPr>
          <w:b/>
          <w:i/>
          <w:color w:val="3A0517"/>
        </w:rPr>
        <w:t>Use of Citation</w:t>
      </w:r>
      <w:r>
        <w:t xml:space="preserve"> 🟡</w:t>
      </w:r>
    </w:p>
    <w:p>
      <w:pPr>
        <w:spacing w:before="0" w:after="0"/>
      </w:pPr>
      <w:r>
        <w:t>In the APPELLANTS’ CORRECTED OPENING BRIEF - R - BAND DEFENDANTS AND BROOKS, the case People v. Toomey (1984) 157 Cal.App.3d 1 is cited to support the legal rule that "courts have broad discretion to fashion appropriate remedies under Section 17200" (p. 54). This citation appears in the context of the appellants' argument that the trial court committed reversible error by failing to rule on EFD's Section 17200 (Unfair Competition Law) claims against Band Pro and Brooks (p. 54). The trial court had declined to address the merits of these claims because it deemed EFD's initial restitution calculation to be incorrect (p. 54). The appellants interpret the legal reasoning in Toomey as establishing that a court's remedial authority is not limited by a plaintiff's specific damages calculation; even if an initial calculation is flawed, the court is not precluded from considering the merits of the claim and fashioning a suitable remedy (p. 55). The brief directly applies this legal concept to argue that the trial court's rationale for refusing to rule on the UCL claims was "legally unsound" and that the court should have addressed the merits of the fraudulent conduct and unlicensed loan brokering activities regardless of the initial restitution dispute (p. 54-55).</w:t>
      </w:r>
    </w:p>
    <w:p>
      <w:pPr>
        <w:spacing w:before="240" w:after="240"/>
      </w:pPr>
      <w:r>
        <w:rPr>
          <w:b/>
          <w:i/>
          <w:color w:val="3A0517"/>
        </w:rPr>
        <w:t>Accuracy Review</w:t>
      </w:r>
    </w:p>
    <w:p>
      <w:pPr>
        <w:spacing w:before="0" w:after="0"/>
      </w:pPr>
      <w:r>
        <w:t>The citation to People v. Toomey is partially accurate but contains a technical mismatch regarding the specific page references. The brief correctly identifies Toomey as a foundational case for the principle that trial courts have wide latitude in fashioning equitable remedies under the UCL to prevent unfair practices and restore property. However, the brief cites pages 14-15 for the 'broad discretion to fashion appropriate remedies' proposition; those specific pages in Toomey actually focus on the standards for individual liability of corporate officers (personal participation vs. vicarious liability). The discussion of the court's 'broad authority to fashion a remedy' actually appears on page 20 of the Toomey opinion. Furthermore, while Toomey emphasizes the remedial and deterrent purpose of the UCL, it does not explicitly address the specific procedural scenario raised by the appellants—whether a court is 'precluded' from ruling on the merits because of a flawed initial damages calculation. The brief extends Toomey's general 'broad discretion' holding to cover this specific procedural failure by the trial court. While this is a reasonable application of the case's underlying logic regarding the equitable duties of the court, it is an extension rather than a direct holding from the case.</w:t>
      </w:r>
    </w:p>
    <w:p>
      <w:pPr>
        <w:spacing w:before="240" w:after="240"/>
      </w:pPr>
      <w:r>
        <w:rPr>
          <w:b/>
          <w:i/>
          <w:color w:val="3A0517"/>
        </w:rPr>
        <w:t>Applicable Negative Treatment</w:t>
      </w:r>
    </w:p>
    <w:p>
      <w:pPr>
        <w:spacing w:before="0" w:after="0"/>
      </w:pPr>
      <w:r>
        <w:rPr>
          <w:b/>
        </w:rPr>
        <w:t>1. People v. JTH Tax, Inc. (2013) 212 Cal.App.4th 1219:</w:t>
      </w:r>
      <w:r>
        <w:t xml:space="preserve"> This opinion limits the application of the legal principles on pages 14-15 of </w:t>
      </w:r>
      <w:r>
        <w:rPr>
          <w:i/>
        </w:rPr>
        <w:t>Toomey</w:t>
      </w:r>
      <w:r>
        <w:t xml:space="preserve"> (the specific pages cited in the brief). The court stated that to the extent </w:t>
      </w:r>
      <w:r>
        <w:rPr>
          <w:i/>
        </w:rPr>
        <w:t>Toomey</w:t>
      </w:r>
      <w:r>
        <w:t xml:space="preserve"> suggested agency theories are unavailable under the Unfair Competition Law, it was "mistaken," and clarified that </w:t>
      </w:r>
      <w:r>
        <w:rPr>
          <w:i/>
        </w:rPr>
        <w:t>Toomey</w:t>
      </w:r>
      <w:r>
        <w:t xml:space="preserve"> merely disallowed "reverse vicarious liability" (holding officers automatically liable for corporate acts without personal participation).</w:t>
      </w:r>
    </w:p>
    <w:p>
      <w:pPr>
        <w:spacing w:before="0" w:after="0"/>
      </w:pPr>
      <w:r>
        <w:rPr>
          <w:b/>
        </w:rPr>
        <w:t>2. People v. First Federal Credit Corp. (2002) 104 Cal.App.4th 721:</w:t>
      </w:r>
      <w:r>
        <w:t xml:space="preserve"> This Second District opinion (matching the jurisdiction of the brief) notes that </w:t>
      </w:r>
      <w:r>
        <w:rPr>
          <w:i/>
        </w:rPr>
        <w:t>Toomey</w:t>
      </w:r>
      <w:r>
        <w:t xml:space="preserve"> was partially disapproved by the California Supreme Court in </w:t>
      </w:r>
      <w:r>
        <w:rPr>
          <w:i/>
        </w:rPr>
        <w:t>Adams v. Murakami</w:t>
      </w:r>
      <w:r>
        <w:t xml:space="preserve"> (1991) 54 Cal.3d 105. Specifically, it rejected </w:t>
      </w:r>
      <w:r>
        <w:rPr>
          <w:i/>
        </w:rPr>
        <w:t>Toomey</w:t>
      </w:r>
      <w:r>
        <w:t>’s holding that the burden is on the defendant to establish financial inability to pay punitive-type civil penalties, instead requiring the plaintiff to present evidence of the defendant’s financial condition.</w:t>
      </w:r>
    </w:p>
    <w:p>
      <w:pPr>
        <w:spacing w:before="240" w:after="240"/>
      </w:pPr>
      <w:r>
        <w:rPr>
          <w:b/>
          <w:i/>
          <w:color w:val="3A0517"/>
        </w:rPr>
        <w:t>Other Relevant Precedence</w:t>
      </w:r>
    </w:p>
    <w:p>
      <w:pPr>
        <w:spacing w:before="0" w:after="0"/>
      </w:pPr>
      <w:r>
        <w:rPr>
          <w:b/>
        </w:rPr>
        <w:t>1. People ex rel. Harris v. Sarpas (2014) 225 Cal.App.4th 1539:</w:t>
      </w:r>
      <w:r>
        <w:t xml:space="preserve"> This Second District case reinforces </w:t>
      </w:r>
      <w:r>
        <w:rPr>
          <w:i/>
        </w:rPr>
        <w:t>Toomey</w:t>
      </w:r>
      <w:r>
        <w:t>’s holding that restitution under the Unfair Competition Law (UCL) does not require individualized proof of harm or reliance for every victim, supporting the argument that a trial court should adjudicate the merits of a UCL claim even if specific restitution amounts are initially disputed.</w:t>
      </w:r>
    </w:p>
    <w:p>
      <w:pPr>
        <w:spacing w:before="0" w:after="0"/>
      </w:pPr>
      <w:r>
        <w:rPr>
          <w:b/>
        </w:rPr>
        <w:t>2. Allied Grape Growers v. Bronco Wine Co. (1988) 203 Cal.App.3d 432:</w:t>
      </w:r>
      <w:r>
        <w:t xml:space="preserve"> This case explicitly cites </w:t>
      </w:r>
      <w:r>
        <w:rPr>
          <w:i/>
        </w:rPr>
        <w:t>Toomey</w:t>
      </w:r>
      <w:r>
        <w:t xml:space="preserve"> to affirm that trial courts possess broad equitable powers under Business and Professions Code section 17200 to fashion remedies, including restitution and injunctions, to protect the public and deter unfair practices.</w:t>
      </w:r>
    </w:p>
    <w:p>
      <w:pPr>
        <w:spacing w:before="0" w:after="0"/>
      </w:pPr>
      <w:r>
        <w:rPr>
          <w:b/>
        </w:rPr>
        <w:t>3. People v. Dollar Rent-A-Car Systems, Inc. (1989) 211 Cal.App.3d 119:</w:t>
      </w:r>
      <w:r>
        <w:t xml:space="preserve"> Citing </w:t>
      </w:r>
      <w:r>
        <w:rPr>
          <w:i/>
        </w:rPr>
        <w:t>Toomey</w:t>
      </w:r>
      <w:r>
        <w:t>, this opinion emphasizes that a court may impose UCL liability and civil penalties without individualized proof of deception if such a remedy is necessary to deter unfair business practices, supporting the appellants' contention that the trial court erred by refusing to rule on the merits due to a calculation dispute.</w:t>
      </w:r>
    </w:p>
    <w:p>
      <w:r>
        <w:br w:type="page"/>
      </w:r>
    </w:p>
    <w:p>
      <w:pPr>
        <w:spacing w:before="0" w:after="0"/>
      </w:pPr>
      <w:r/>
      <w:hyperlink w:anchor="minorissues">
        <w:r>
          <w:rPr/>
          <w:t xml:space="preserve">↑ Triage</w:t>
        </w:r>
      </w:hyperlink>
    </w:p>
    <w:p>
      <w:pPr>
        <w:pStyle w:val="Heading3"/>
      </w:pPr>
      <w:r>
        <w:bookmarkStart w:id="35" w:name="codeofcivilp29"/>
        <w:bookmarkEnd w:id="35" w:name="codeofcivilp29"/>
      </w:r>
      <w:r>
        <w:t>Code of Civil Procedure § 877.6</w:t>
      </w:r>
    </w:p>
    <w:p>
      <w:pPr>
        <w:spacing w:before="240" w:after="240"/>
      </w:pPr>
      <w:r>
        <w:rPr>
          <w:b/>
          <w:i/>
          <w:color w:val="3A0517"/>
        </w:rPr>
        <w:t>Use of Citation</w:t>
      </w:r>
      <w:r>
        <w:t xml:space="preserve"> 🟡</w:t>
      </w:r>
    </w:p>
    <w:p>
      <w:pPr>
        <w:spacing w:before="0" w:after="0"/>
      </w:pPr>
      <w:r>
        <w:t>The APPELLANTS’ CORRECTED OPENING BRIEF - R - BAND DEFENDANTS AND BROOKS (RECORD CITATIONS AND ADDING HYPERLINKS) cites CA Code of Civil Procedure section 877.6 to support the proposition that trial courts are required to perform a 'mandatory equitable balancing analysis' when determining the scope and application of good faith settlement offsets (p. 41). The brief argues that this statute, alongside section 877, embodies 'principles of fairness and divisibility' that prevent non-settling defendants from receiving an unearned windfall from settlements involving unrelated claims or separate transactions (p. 31). In the context of this case, the appellants argue the trial court erred by mechanically applying the entire Bisel settlement as an offset without performing the balancing required by section 877.6 to ensure 'full compensation for injured plaintiffs' while 'protecting settling defendants from bearing disproportionate liability' (p. 42). The brief employs analogical reasoning by citing Abbott Ford, Inc. v. Superior Court and Garcia v. Duro Dyne Corp. to establish that the policy objectives of the good faith settlement statutes must be harmonized, and that a court's failure to exercise its discretion to perform this balancing constitutes an abuse of discretion (p. 42). The statutory rules of section 877.6 are interpreted as a 'fundamental component' of the offset analysis rather than a discretionary one, requiring the court to address nonfrivolous arguments regarding the allocation of settlement proceeds to ensure the offset is not 'excessive' (p. 41, 43).</w:t>
      </w:r>
    </w:p>
    <w:p>
      <w:pPr>
        <w:spacing w:before="240" w:after="240"/>
      </w:pPr>
      <w:r>
        <w:rPr>
          <w:b/>
          <w:i/>
          <w:color w:val="3A0517"/>
        </w:rPr>
        <w:t>Accuracy Review</w:t>
      </w:r>
    </w:p>
    <w:p>
      <w:pPr>
        <w:spacing w:before="0" w:after="0"/>
      </w:pPr>
      <w:r>
        <w:t>The brief's citation of CCP 877.6 involves a contextual overextension. While the brief accurately reflects the broad policy goals of the good faith settlement statutes as interpreted by the California Supreme Court (balancing full compensation with preventing double recovery), it characterizes CCP 877.6 as the source of a 'mandatory' requirement for the trial court to perform an equitable balancing when calculating a post-verdict offset. Technically, CCP 877.6 governs the procedure for determining the 'good faith' of a settlement to bar indemnity claims, whereas CCP 877(a) governs the actual reduction (offset) of the claims against non-settling defendants. The 'equitable balancing' the brief refers to is typically the Tech-Bilt analysis performed during the good faith hearing itself, not a separate mandatory step required by the text of 877.6 during a post-trial motion for set-off. By framing the failure to perform this balancing as a direct violation of 877.6 in the context of an offset calculation, the brief conflates the procedural 'good faith' bar with the substantive 'offset' rules found in section 877.</w:t>
      </w:r>
    </w:p>
    <w:p>
      <w:r>
        <w:br w:type="page"/>
      </w:r>
    </w:p>
    <w:p>
      <w:pPr>
        <w:spacing w:before="0" w:after="0"/>
      </w:pPr>
      <w:r/>
      <w:hyperlink w:anchor="accurate">
        <w:r>
          <w:rPr/>
          <w:t xml:space="preserve">↑ Triage</w:t>
        </w:r>
      </w:hyperlink>
    </w:p>
    <w:p>
      <w:pPr>
        <w:pStyle w:val="Heading3"/>
      </w:pPr>
      <w:r>
        <w:bookmarkStart w:id="36" w:name="carlsenvkoiv30"/>
        <w:bookmarkEnd w:id="36" w:name="carlsenvkoiv30"/>
      </w:r>
      <w:r>
        <w:t>Carlsen v. Koivumaki 227 Cal.App.4th 879</w:t>
      </w:r>
    </w:p>
    <w:p>
      <w:pPr>
        <w:spacing w:before="240" w:after="240"/>
      </w:pPr>
      <w:r>
        <w:rPr>
          <w:b/>
          <w:i/>
          <w:color w:val="3A0517"/>
        </w:rPr>
        <w:t>Use of Citation</w:t>
      </w:r>
      <w:r>
        <w:t xml:space="preserve"> 🟢</w:t>
      </w:r>
    </w:p>
    <w:p>
      <w:pPr>
        <w:spacing w:before="0" w:after="0"/>
      </w:pPr>
      <w:r>
        <w:t>EFD cites Carlsen v. Koivumaki (2014) 227 Cal.App.4th 879 to support the well-established legal rule that a defaulting defendant admits all well-pleaded allegations in the complaint (p. 40, 44). In the context of this matter, the brief uses this rule to challenge the trial court's calculation of the default judgment against GroundSeven. The appellants argue that the trial court erred by limiting GroundSeven's liability to only the 16 transactions presented at the jury trial, rather than the full scope of 57 transactions alleged in the complaint (p. 40). The brief interprets Carlsen as mandating that GroundSeven, by virtue of its default, legally admitted to the broader scheme and to joint and several liability for all transactions (p. 44). EFD directly applies this concept to argue that the GroundSeven judgment was artificially low, which in turn distorted the equitable balancing and calculation of the Bisel settlement offset (p. 40-41, 44-45).</w:t>
      </w:r>
    </w:p>
    <w:p>
      <w:pPr>
        <w:spacing w:before="240" w:after="240"/>
      </w:pPr>
      <w:r>
        <w:rPr>
          <w:b/>
          <w:i/>
          <w:color w:val="3A0517"/>
        </w:rPr>
        <w:t>Accuracy Review</w:t>
      </w:r>
    </w:p>
    <w:p>
      <w:pPr>
        <w:spacing w:before="0" w:after="0"/>
      </w:pPr>
      <w:r>
        <w:t>The brief accurately applies the legal principles from Carlsen v. Koivumaki. The citation correctly identifies the core holding that a default serves as an admission of all well-pleaded allegations, precluding the need for further proof of liability. The brief's application is contextually appropriate, as it challenges a trial court's decision to limit a default judgment based on evidence presented in a separate trial (the 16 transactions) rather than the scope of the complaint itself (the 57 transactions). This aligns with Carlsen's reasoning that the 'complaint delimits the legal theories a plaintiff may pursue and the nature of the evidence which is admissible' in a default context. While Carlsen notes that legal conclusions are not admitted by default, the brief's argument regarding the factual scope of the transactions (57 vs. 16) falls squarely within the 'material facts' category supported by the case. The outcome sought by the brief—reversing a judgment where the trial court required extrinsic proof of liability for a defaulting party—is consistent with the appellate outcome in Carlsen.</w:t>
      </w:r>
    </w:p>
    <w:p>
      <w:r>
        <w:br w:type="page"/>
      </w:r>
    </w:p>
    <w:p>
      <w:pPr>
        <w:spacing w:before="0" w:after="0"/>
      </w:pPr>
      <w:r/>
      <w:hyperlink w:anchor="accurate">
        <w:r>
          <w:rPr/>
          <w:t xml:space="preserve">↑ Triage</w:t>
        </w:r>
      </w:hyperlink>
    </w:p>
    <w:p>
      <w:pPr>
        <w:pStyle w:val="Heading3"/>
      </w:pPr>
      <w:r>
        <w:bookmarkStart w:id="37" w:name="csordasvunit31"/>
        <w:bookmarkEnd w:id="37" w:name="csordasvunit31"/>
      </w:r>
      <w:r>
        <w:t>Csordas v. United Slate Tile &amp; Composition Roofers 177 Cal.App.2d 184</w:t>
      </w:r>
    </w:p>
    <w:p>
      <w:pPr>
        <w:spacing w:before="240" w:after="240"/>
      </w:pPr>
      <w:r>
        <w:rPr>
          <w:b/>
          <w:i/>
          <w:color w:val="3A0517"/>
        </w:rPr>
        <w:t>Use of Citation</w:t>
      </w:r>
      <w:r>
        <w:t xml:space="preserve"> 🟢</w:t>
      </w:r>
    </w:p>
    <w:p>
      <w:pPr>
        <w:spacing w:before="0" w:after="0"/>
      </w:pPr>
      <w:r>
        <w:t>In APPELLANTS’ CORRECTED OPENING BRIEF - R - BAND DEFENDANTS AND BROOKS (RECORD CITATIONS AND ADDING HYPERLINKS), the case Csordas v. United Slate Tile &amp; Composition Roofers (1960) 177 Cal.App.2d 184 is cited to support the legal rule that a defaulting defendant admits all well-pleaded allegations in a complaint (p. 40). The brief uses this citation within the context of challenging the trial court's calculation of a default judgment against GroundSeven (p. 40). The appellants argue that the trial court erroneously limited GroundSeven's liability to only 16 transactions presented at trial, rather than the full scope of 57 transactions alleged in the complaint (p. 40). By citing Csordas, the appellants interpret the law to mean that GroundSeven, by defaulting, legally admitted to the broader scheme and the resulting damages for all transactions (p. 40). The brief directly applies this concept to argue that the trial court's failure to include the full scope of GroundSeven's admitted liability distorted the subsequent good faith settlement offset calculation (pp. 40-41).</w:t>
      </w:r>
    </w:p>
    <w:p>
      <w:pPr>
        <w:spacing w:before="240" w:after="240"/>
      </w:pPr>
      <w:r>
        <w:rPr>
          <w:b/>
          <w:i/>
          <w:color w:val="3A0517"/>
        </w:rPr>
        <w:t>Accuracy Review</w:t>
      </w:r>
    </w:p>
    <w:p>
      <w:pPr>
        <w:spacing w:before="0" w:after="0"/>
      </w:pPr>
      <w:r>
        <w:t>The citation to Csordas v. United Slate Tile &amp; Composition Roofers is highly accurate and appropriately applied. The brief correctly identifies the central legal principle from the case—that a default constitutes a confession of the material allegations in the complaint—and uses it to challenge the trial court's decision to limit damages to a subset of transactions. This application is consistent with the factual and procedural context of Csordas, where the trial court was reversed for failing to grant judgment on admitted allegations supported by uncontradicted evidence. Furthermore, the brief's reliance on expert testimony (Bussell) to establish the 'just' sum for the default judgment aligns with the requirement in Csordas that the court must render judgment based on the evidence presented. There is no mischaracterization or overextension; the brief uses the case to reinforce a standard procedural rule regarding the effect of a default on the scope of liability and damages.</w:t>
      </w:r>
    </w:p>
    <w:p>
      <w:pPr>
        <w:spacing w:before="240" w:after="240"/>
      </w:pPr>
      <w:r>
        <w:rPr>
          <w:b/>
          <w:i/>
          <w:color w:val="3A0517"/>
        </w:rPr>
        <w:t>Other Relevant Precedence</w:t>
      </w:r>
    </w:p>
    <w:p>
      <w:pPr>
        <w:spacing w:before="0" w:after="0"/>
      </w:pPr>
      <w:r>
        <w:rPr>
          <w:b/>
        </w:rPr>
        <w:t>1. Weiss v. Blumencranc, 61 Cal.App.3d 536:</w:t>
      </w:r>
      <w:r>
        <w:t xml:space="preserve"> This case is from the Second Appellate District (matching the jurisdiction of the current brief) and confirms the principle from </w:t>
      </w:r>
      <w:r>
        <w:rPr>
          <w:i/>
        </w:rPr>
        <w:t>Csordas</w:t>
      </w:r>
      <w:r>
        <w:t xml:space="preserve"> that a defaulting defendant is deemed to have admitted all allegations in the complaint, specifically applying this rule to satisfy the requirement of establishing actual damages.</w:t>
      </w:r>
    </w:p>
    <w:p>
      <w:pPr>
        <w:spacing w:before="0" w:after="0"/>
      </w:pPr>
      <w:r>
        <w:rPr>
          <w:b/>
        </w:rPr>
        <w:t>2. Morehouse v. Wanzo, 266 Cal.App.2d 846:</w:t>
      </w:r>
      <w:r>
        <w:t xml:space="preserve"> This case provides a more nuanced application of the </w:t>
      </w:r>
      <w:r>
        <w:rPr>
          <w:i/>
        </w:rPr>
        <w:t>Csordas</w:t>
      </w:r>
      <w:r>
        <w:t xml:space="preserve"> rule, discussing the trial court's duty during a default hearing and emphasizing that while allegations are admitted, the plaintiff must still introduce evidence sufficient to establish a prima facie case.</w:t>
      </w:r>
    </w:p>
    <w:p>
      <w:r>
        <w:br w:type="page"/>
      </w:r>
    </w:p>
    <w:p>
      <w:pPr>
        <w:spacing w:before="0" w:after="0"/>
      </w:pPr>
      <w:r/>
      <w:hyperlink w:anchor="accurate">
        <w:r>
          <w:rPr/>
          <w:t xml:space="preserve">↑ Triage</w:t>
        </w:r>
      </w:hyperlink>
    </w:p>
    <w:p>
      <w:pPr>
        <w:pStyle w:val="Heading3"/>
      </w:pPr>
      <w:r>
        <w:bookmarkStart w:id="38" w:name="abbottfordin32"/>
        <w:bookmarkEnd w:id="38" w:name="abbottfordin32"/>
      </w:r>
      <w:r>
        <w:t>Abbott Ford, Inc. v. Superior Court 43 Cal.3d 858</w:t>
      </w:r>
    </w:p>
    <w:p>
      <w:pPr>
        <w:spacing w:before="240" w:after="240"/>
      </w:pPr>
      <w:r>
        <w:rPr>
          <w:b/>
          <w:i/>
          <w:color w:val="3A0517"/>
        </w:rPr>
        <w:t>Use of Citation</w:t>
      </w:r>
      <w:r>
        <w:t xml:space="preserve"> 🟢</w:t>
      </w:r>
    </w:p>
    <w:p>
      <w:pPr>
        <w:spacing w:before="0" w:after="0"/>
      </w:pPr>
      <w:r>
        <w:t>The brief cites Abbott Ford, Inc. v. Superior Court to establish the legal rule that trial courts must perform a 'mandatory equitable balancing analysis' when determining the scope of good faith settlement offsets under Code of Civil Procedure section 877 (p. 41). Specifically, it supports the proposition that courts are required to balance two 'competing public policy objectives': ensuring that injured plaintiffs receive full compensation and protecting settling defendants from 'bearing disproportionate liability' (p. 42). The brief notes that the California Supreme Court in Abbott Ford 'explicitly rejected prioritizing one objective over the other,' instead requiring 'harmonization within each case's specific context' (p. 42). In the context of this litigation, the appellants argue that the trial court 'mechanically applied' a $375,000 settlement as a full offset against a jury verdict for fraud, effectively reducing the plaintiffs' recovery to zero (p. 21). They contend the court ignored the competing policy goals identified in Abbott Ford (p. 21). The brief interprets Abbott Ford as making equitable balancing a 'fundamental component' of the offset analysis rather than a discretionary act (p. 41-42). It directly applies these concepts to argue that the trial court's 'perfunctory treatment' and 'silence' regarding this mandatory harmonization constituted an abuse of discretion that 'taints the entire offset determination' (p. 42-43).</w:t>
      </w:r>
    </w:p>
    <w:p>
      <w:pPr>
        <w:spacing w:before="240" w:after="240"/>
      </w:pPr>
      <w:r>
        <w:rPr>
          <w:b/>
          <w:i/>
          <w:color w:val="3A0517"/>
        </w:rPr>
        <w:t>Accuracy Review</w:t>
      </w:r>
    </w:p>
    <w:p>
      <w:pPr>
        <w:spacing w:before="0" w:after="0"/>
      </w:pPr>
      <w:r>
        <w:t>The brief's citation of Abbott Ford, Inc. v. Superior Court is highly accurate and contextually appropriate. The appellants correctly identify the dual policy objectives of Code of Civil Procedure sections 877 and 877.6—equitable sharing of costs and encouragement of settlements—and accurately represent the Supreme Court's instruction that these goals must be harmonized rather than prioritized mechanically. The brief's characterization of the balancing analysis as 'mandatory' is supported by the language in Abbott Ford stating that the good faith provision 'mandates' that courts review agreements to ensure they appropriately balance these objectives. While Abbott Ford specifically addressed sliding scale agreements, its discussion of the fundamental policy goals of the good faith settlement statutes is universally applicable to all settlements under section 877. The brief effectively applies the 'harmonization' principle to argue that the trial court's failure to account for the plaintiff's right to full recovery (by including unrelated claims in the offset) constituted a failure to perform the required equitable balancing. This application is consistent with the Supreme Court's reasoning that the 'set-off' mechanism is the primary tool for achieving fairness between settling and nonsettling parties.</w:t>
      </w:r>
    </w:p>
    <w:p>
      <w:pPr>
        <w:spacing w:before="240" w:after="240"/>
      </w:pPr>
      <w:r>
        <w:rPr>
          <w:b/>
          <w:i/>
          <w:color w:val="3A0517"/>
        </w:rPr>
        <w:t>Applicable Negative Treatment</w:t>
      </w:r>
    </w:p>
    <w:p>
      <w:pPr>
        <w:spacing w:before="0" w:after="0"/>
      </w:pPr>
      <w:r>
        <w:rPr>
          <w:b/>
        </w:rPr>
        <w:t>1. Peter Culley &amp; Associates v. Superior Court, 10 Cal. App. 4th 1484:</w:t>
      </w:r>
      <w:r>
        <w:t xml:space="preserve"> Limits the </w:t>
      </w:r>
      <w:r>
        <w:rPr>
          <w:i/>
        </w:rPr>
        <w:t>Abbott Ford</w:t>
      </w:r>
      <w:r>
        <w:t xml:space="preserve"> principle that a joint valuation of a settlement is presumed reasonable, holding that such a presumption only applies when the settling parties have truly adverse interests in the specific allocation to prevent prejudice against nonsettling defendants.</w:t>
      </w:r>
    </w:p>
    <w:p>
      <w:pPr>
        <w:spacing w:before="0" w:after="0"/>
      </w:pPr>
      <w:r>
        <w:rPr>
          <w:b/>
        </w:rPr>
        <w:t>2. United Services Automobile Ass'n v. Superior Court, 93 Cal. App. 4th 633:</w:t>
      </w:r>
      <w:r>
        <w:t xml:space="preserve"> Limits the application of </w:t>
      </w:r>
      <w:r>
        <w:rPr>
          <w:i/>
        </w:rPr>
        <w:t>Abbott Ford's</w:t>
      </w:r>
      <w:r>
        <w:t xml:space="preserve"> valuation principles by clarifying that they should not be applied in a "mechanical" or "robotic" fashion, but must be the product of negotiations intended to produce an equitable value for the offset.</w:t>
      </w:r>
    </w:p>
    <w:p>
      <w:pPr>
        <w:spacing w:before="240" w:after="240"/>
      </w:pPr>
      <w:r>
        <w:rPr>
          <w:b/>
          <w:i/>
          <w:color w:val="3A0517"/>
        </w:rPr>
        <w:t>Other Relevant Precedence</w:t>
      </w:r>
    </w:p>
    <w:p>
      <w:pPr>
        <w:spacing w:before="0" w:after="0"/>
      </w:pPr>
      <w:r>
        <w:rPr>
          <w:b/>
        </w:rPr>
        <w:t>1. Garcia v. Duro Dyne Corp., 156 Cal.App.4th 92:</w:t>
      </w:r>
      <w:r>
        <w:t xml:space="preserve"> This Second District case applies the </w:t>
      </w:r>
      <w:r>
        <w:rPr>
          <w:i/>
        </w:rPr>
        <w:t>Abbott Ford</w:t>
      </w:r>
      <w:r>
        <w:t xml:space="preserve"> principles to the specific issue of when an offset is appropriate, emphasizing that the objectives of Code of Civil Procedure section 877—equitable sharing of costs and encouraging settlement—must be balanced to ensure offsets are not applied inequitably.</w:t>
      </w:r>
    </w:p>
    <w:p>
      <w:pPr>
        <w:spacing w:before="0" w:after="0"/>
      </w:pPr>
      <w:r>
        <w:rPr>
          <w:b/>
        </w:rPr>
        <w:t>2. Erreca's v. Superior Court, 19 Cal.App.4th 1475:</w:t>
      </w:r>
      <w:r>
        <w:t xml:space="preserve"> This case provides a detailed framework for the "allocation" of settlement proceeds among different claims to determine the proper offset, specifically holding that the court must make a "best estimate" to ensure the non-settling defendant does not receive a windfall from the settlement of unrelated claims.</w:t>
      </w:r>
    </w:p>
    <w:p>
      <w:pPr>
        <w:spacing w:before="0" w:after="0"/>
      </w:pPr>
      <w:r>
        <w:rPr>
          <w:b/>
        </w:rPr>
        <w:t>3. Dillingham Const., N.A., Inc. v. Nadel P'ship, Inc., 64 Cal.App.4th 264:</w:t>
      </w:r>
      <w:r>
        <w:t xml:space="preserve"> A Second District case that directly addresses the requirement to allocate settlement proceeds when a settlement covers multiple distinct claims, reinforcing the </w:t>
      </w:r>
      <w:r>
        <w:rPr>
          <w:i/>
        </w:rPr>
        <w:t>Abbott Ford</w:t>
      </w:r>
      <w:r>
        <w:t xml:space="preserve"> principle that offsets must align with the specific liability of the non-settling defendant.</w:t>
      </w:r>
    </w:p>
    <w:p>
      <w:pPr>
        <w:spacing w:before="0" w:after="0"/>
      </w:pPr>
      <w:r>
        <w:rPr>
          <w:b/>
        </w:rPr>
        <w:t>4. Dell'Oca v. Bank of New York Tr. Co., 159 Cal.App.4th 531:</w:t>
      </w:r>
      <w:r>
        <w:t xml:space="preserve"> This case emphasizes that the primary interest of Code of Civil Procedure section 877 is the maximization of recovery to the injured party and that offsets are improper where the settlement relates to claims distinct from the joint causes of action.</w:t>
      </w:r>
    </w:p>
    <w:p>
      <w:pPr>
        <w:spacing w:before="0" w:after="0"/>
      </w:pPr>
      <w:r>
        <w:rPr>
          <w:b/>
        </w:rPr>
        <w:t>5. Tatum v. Armor Elevator Co., 203 Cal.App.3d 1315:</w:t>
      </w:r>
      <w:r>
        <w:t xml:space="preserve"> This case explicitly applies the </w:t>
      </w:r>
      <w:r>
        <w:rPr>
          <w:i/>
        </w:rPr>
        <w:t>Abbott Ford</w:t>
      </w:r>
      <w:r>
        <w:t xml:space="preserve"> rule that the three policies underlying section 877 (maximizing recovery, encouraging settlement, and equitable apportionment) are not hierarchical and must be harmonized based on the specific context of the litigation.</w:t>
      </w:r>
    </w:p>
    <w:p>
      <w:r>
        <w:br w:type="page"/>
      </w:r>
    </w:p>
    <w:p>
      <w:pPr>
        <w:spacing w:before="0" w:after="0"/>
      </w:pPr>
      <w:r/>
      <w:hyperlink w:anchor="accurate">
        <w:r>
          <w:rPr/>
          <w:t xml:space="preserve">↑ Triage</w:t>
        </w:r>
      </w:hyperlink>
    </w:p>
    <w:p>
      <w:pPr>
        <w:pStyle w:val="Heading3"/>
      </w:pPr>
      <w:r>
        <w:bookmarkStart w:id="39" w:name="estateofblan33"/>
        <w:bookmarkEnd w:id="39" w:name="estateofblan33"/>
      </w:r>
      <w:r>
        <w:t>Estate of Blanco 86 Cal.App.3d 826</w:t>
      </w:r>
    </w:p>
    <w:p>
      <w:pPr>
        <w:spacing w:before="240" w:after="240"/>
      </w:pPr>
      <w:r>
        <w:rPr>
          <w:b/>
          <w:i/>
          <w:color w:val="3A0517"/>
        </w:rPr>
        <w:t>Use of Citation</w:t>
      </w:r>
      <w:r>
        <w:t xml:space="preserve"> 🟢</w:t>
      </w:r>
    </w:p>
    <w:p>
      <w:pPr>
        <w:spacing w:before="0" w:after="0"/>
      </w:pPr>
      <w:r>
        <w:t>In the APPELLANTS’ CORRECTED OPENING BRIEF - R - BAND DEFENDANTS AND BROOKS, the appellants cite Estate of Blanco (1978) 86 Cal.App.3d 826 to support the argument that the trial court's inclusion of 'unclean hands' findings in the final judgment was legally erroneous and internally inconsistent (p. 59). The LEGAL RULE for which the case is cited concerns the impropriety of a court maintaining contradictory findings within a judgment, particularly when a defense (like unclean hands) has been rejected based on a party's remedial actions (p. 59). In the CONTEXT of this litigation, the trial court found that the 'unclean hands' defense did not bar EFD's recovery but nevertheless included extensive factual findings in the judgment that supported the rejected defense (p. 57). The appellants argue this created a 'prejudicial conflict' and an 'inconsistent and confusing legal landscape' (p. 58). Regarding INTERPRETATION, the brief uses Estate of Blanco to emphasize that a judgment's integrity is undermined when it contains internal inconsistencies that contradict the court's own prior rulings or ultimate legal conclusions (p. 59). The APPLICATION is direct; the appellants argue that the trial court's retention of these findings 'contradicts the trial court's own summary judgment ruling treating the underlying transactions as separate, and its ultimate rejection of the unclean hands defense' (p. 59).</w:t>
      </w:r>
    </w:p>
    <w:p>
      <w:pPr>
        <w:spacing w:before="240" w:after="240"/>
      </w:pPr>
      <w:r>
        <w:rPr>
          <w:b/>
          <w:i/>
          <w:color w:val="3A0517"/>
        </w:rPr>
        <w:t>Accuracy Review</w:t>
      </w:r>
    </w:p>
    <w:p>
      <w:pPr>
        <w:spacing w:before="0" w:after="0"/>
      </w:pPr>
      <w:r>
        <w:t>The citation to Estate of Blanco in the Appellants’ Opening Brief is an Accurate Application of the law. The appellants cite the case to support the proposition that the 'unclean hands' defense can be rejected or 'purged' based on remedial actions, and that once the defense is rejected, it is inconsistent to maintain factual findings that support it. This aligns perfectly with the reasoning in Blanco, where the court emphasized that the essence of the doctrine is not the 'dirty hands' themselves, but whether those hands make the assertion of rights inequitable against the specific defendant. By citing pages 833-834, the brief correctly identifies the legal framework for 'purging' a fraudulent intent through subsequent conduct or judicial determinations. The brief’s application is contextually appropriate because it uses Blanco to highlight the legal absurdity of a trial court acknowledging that a defense was 'purged' or 'rejected' while simultaneously embedding the 'dirty' facts into the final judgment. There is no mischaracterization or overextension; the brief relies on Blanco for the exact equitable principle it established—that the clean hands doctrine is flexible and its application (or rejection) must be consistent with the ultimate equitable outcome.</w:t>
      </w:r>
    </w:p>
    <w:p>
      <w:pPr>
        <w:spacing w:before="240" w:after="240"/>
      </w:pPr>
      <w:r>
        <w:rPr>
          <w:b/>
          <w:i/>
          <w:color w:val="3A0517"/>
        </w:rPr>
        <w:t>Other Relevant Precedence</w:t>
      </w:r>
    </w:p>
    <w:p>
      <w:pPr>
        <w:spacing w:before="0" w:after="0"/>
      </w:pPr>
      <w:r>
        <w:rPr>
          <w:b/>
        </w:rPr>
        <w:t>1. Health Maintenance Network v. Blue Cross, 202 Cal. App. 3d 1043:</w:t>
      </w:r>
      <w:r>
        <w:t xml:space="preserve"> This Second District case is a strong jurisdictional match that cites </w:t>
      </w:r>
      <w:r>
        <w:rPr>
          <w:i/>
        </w:rPr>
        <w:t>Estate of Blanco</w:t>
      </w:r>
      <w:r>
        <w:t xml:space="preserve"> for the proposition that the "clean hands" doctrine is not a mechanical rule and that public policy may favor its non-application to avoid inequitable results. It is highly relevant to the appellants' argument that the trial court's findings created an unjust and inconsistent legal landscape.</w:t>
      </w:r>
    </w:p>
    <w:p>
      <w:pPr>
        <w:spacing w:before="0" w:after="0"/>
      </w:pPr>
      <w:r>
        <w:rPr>
          <w:b/>
        </w:rPr>
        <w:t>2. Andre Flowers v. Dancy, 205 Cal. App. 4th 1238:</w:t>
      </w:r>
      <w:r>
        <w:t xml:space="preserve"> This more recent Second District decision applies the "essence of the clean hands doctrine" from </w:t>
      </w:r>
      <w:r>
        <w:rPr>
          <w:i/>
        </w:rPr>
        <w:t>Estate of Blanco</w:t>
      </w:r>
      <w:r>
        <w:t>—specifically that the "manner of dirtying" must render the assertion of rights inequitable. It is on-point for evaluating whether the trial court's factual findings regarding EFD's conduct were sufficiently related to the relief sought to justify their inclusion in the judgment.</w:t>
      </w:r>
    </w:p>
    <w:p>
      <w:r>
        <w:br w:type="page"/>
      </w:r>
    </w:p>
    <w:p>
      <w:pPr>
        <w:spacing w:before="0" w:after="0"/>
      </w:pPr>
      <w:r/>
      <w:hyperlink w:anchor="accurate">
        <w:r>
          <w:rPr/>
          <w:t xml:space="preserve">↑ Triage</w:t>
        </w:r>
      </w:hyperlink>
    </w:p>
    <w:p>
      <w:pPr>
        <w:pStyle w:val="Heading3"/>
      </w:pPr>
      <w:r>
        <w:bookmarkStart w:id="40" w:name="errecasvsupe34"/>
        <w:bookmarkEnd w:id="40" w:name="errecasvsupe34"/>
      </w:r>
      <w:r>
        <w:t>Erreca's v. Superior Court 19 Cal.App.4th 1475</w:t>
      </w:r>
    </w:p>
    <w:p>
      <w:pPr>
        <w:spacing w:before="240" w:after="240"/>
      </w:pPr>
      <w:r>
        <w:rPr>
          <w:b/>
          <w:i/>
          <w:color w:val="3A0517"/>
        </w:rPr>
        <w:t>Use of Citation</w:t>
      </w:r>
      <w:r>
        <w:t xml:space="preserve"> 🟢</w:t>
      </w:r>
    </w:p>
    <w:p>
      <w:pPr>
        <w:spacing w:before="0" w:after="0"/>
      </w:pPr>
      <w:r>
        <w:t>The Appellants’ Corrected Opening Brief cites Erreca's v. Superior Court (1993) 19 Cal.App.4th 1475 to support the legal rule that trial courts are required to perform a mandatory equitable balancing analysis when determining good faith settlement offsets under Code of Civil Procedure sections 877 and 877.6 (p. 41-42). Specifically, the brief cites Erreca's for the proposition that courts must balance two competing public policy objectives: ensuring full compensation for injured plaintiffs and protecting settling defendants from bearing disproportionate liability (p. 42). In the context of this case, the appellants argue that the trial court committed reversible error by mechanically applying the Bisel settlement as a full offset without engaging in this mandatory balancing (p. 41). The brief interprets Erreca's as establishing that this balancing is a fundamental, non-discretionary component of the offset analysis (p. 41). The appellants directly apply this concept by asserting that the trial court's failure to address these competing policies until the post-trial motion stage—and then only in a perfunctory manner—constituted an abuse of discretion (p. 42).</w:t>
      </w:r>
    </w:p>
    <w:p>
      <w:pPr>
        <w:spacing w:before="240" w:after="240"/>
      </w:pPr>
      <w:r>
        <w:rPr>
          <w:b/>
          <w:i/>
          <w:color w:val="3A0517"/>
        </w:rPr>
        <w:t>Accuracy Review</w:t>
      </w:r>
    </w:p>
    <w:p>
      <w:pPr>
        <w:spacing w:before="0" w:after="0"/>
      </w:pPr>
      <w:r>
        <w:t>The citation to Erreca's v. Superior Court in the Appellants’ Opening Brief is an accurate application of the law. The brief correctly identifies Erreca's as a primary authority for the principle that trial courts must harmonize the competing public policy objectives of CCP §§ 877 and 877.6. Specifically, the brief cites page 1500 of the opinion, where the Erreca's court explicitly states that 'while the nonsettling defendant is entitled to a fair setoff, the injured plaintiff also has a right that the setoff not be excessive.' This directly supports the appellants' contention that the trial court cannot simply apply a mechanical offset without performing an equitable analysis to ensure the plaintiff is not deprived of full compensation for distinct harms. The brief's application of Erreca's to the issue of 'equitable balancing' is consistent with the case's broader discussion on how courts must evaluate allocations that affect the setoff available to non-settling defendants. While Erreca's ultimately resulted in an increased credit for the defendants in its specific factual context, its articulation of the mandatory 'harmonization' of policies provides the necessary legal framework for the appellants' challenge to the trial court's lack of such analysis.</w:t>
      </w:r>
    </w:p>
    <w:p>
      <w:pPr>
        <w:spacing w:before="240" w:after="240"/>
      </w:pPr>
      <w:r>
        <w:rPr>
          <w:b/>
          <w:i/>
          <w:color w:val="3A0517"/>
        </w:rPr>
        <w:t>Applicable Negative Treatment</w:t>
      </w:r>
    </w:p>
    <w:p>
      <w:pPr>
        <w:spacing w:before="0" w:after="0"/>
      </w:pPr>
      <w:r>
        <w:rPr>
          <w:b/>
        </w:rPr>
        <w:t>1. Jhaveri v. Teitelbaum, 176 Cal. App. 4th 740:</w:t>
      </w:r>
      <w:r>
        <w:t xml:space="preserve"> This case limits the application of </w:t>
      </w:r>
      <w:r>
        <w:rPr>
          <w:i/>
        </w:rPr>
        <w:t>Erreca’s</w:t>
      </w:r>
      <w:r>
        <w:t xml:space="preserve"> by holding that its principles regarding settlement offsets and good faith determinations under Code of Civil Procedure sections 877 and 877.6 apply only to prejudgment settlements and are inapplicable to postjudgment settlements.</w:t>
      </w:r>
    </w:p>
    <w:p>
      <w:pPr>
        <w:spacing w:before="0" w:after="0"/>
      </w:pPr>
      <w:r>
        <w:rPr>
          <w:b/>
        </w:rPr>
        <w:t>2. Aero-Crete, Inc. v. Superior Court, 21 Cal. App. 4th 203:</w:t>
      </w:r>
      <w:r>
        <w:t xml:space="preserve"> This case distinguishes </w:t>
      </w:r>
      <w:r>
        <w:rPr>
          <w:i/>
        </w:rPr>
        <w:t>Erreca’s</w:t>
      </w:r>
      <w:r>
        <w:t xml:space="preserve"> regarding the timing of valuation for assigned indemnity rights, holding that while </w:t>
      </w:r>
      <w:r>
        <w:rPr>
          <w:i/>
        </w:rPr>
        <w:t>Erreca’s</w:t>
      </w:r>
      <w:r>
        <w:t xml:space="preserve"> suggests valuation should normally occur at the settlement stage, such valuation can be deferred if the settling defendant is insolvent and valuation is not immediately necessary to determine the good faith of the settlement.</w:t>
      </w:r>
    </w:p>
    <w:p>
      <w:pPr>
        <w:spacing w:before="0" w:after="0"/>
      </w:pPr>
      <w:r>
        <w:rPr>
          <w:b/>
        </w:rPr>
        <w:t>3. Ehret v. Congoleum Corp., 73 Cal. App. 4th 1308:</w:t>
      </w:r>
      <w:r>
        <w:t xml:space="preserve"> This case distinguishes </w:t>
      </w:r>
      <w:r>
        <w:rPr>
          <w:i/>
        </w:rPr>
        <w:t>Erreca’s</w:t>
      </w:r>
      <w:r>
        <w:t xml:space="preserve"> regarding the procedural requirements for settlement allocations, noting that a plaintiff's failure to disclose settlement terms to nonsettling parties does not necessarily preclude an allocation of settlement sums, contrary to the stricter interpretation of </w:t>
      </w:r>
      <w:r>
        <w:rPr>
          <w:i/>
        </w:rPr>
        <w:t>Erreca’s</w:t>
      </w:r>
      <w:r>
        <w:t xml:space="preserve"> disclosure requirements.</w:t>
      </w:r>
    </w:p>
    <w:p>
      <w:pPr>
        <w:spacing w:before="0" w:after="0"/>
      </w:pPr>
      <w:r>
        <w:rPr>
          <w:b/>
        </w:rPr>
        <w:t>4. Gouvis Engineering v. Superior Court, 37 Cal. App. 4th 642:</w:t>
      </w:r>
      <w:r>
        <w:t xml:space="preserve"> This case distinguishes </w:t>
      </w:r>
      <w:r>
        <w:rPr>
          <w:i/>
        </w:rPr>
        <w:t>Erreca’s</w:t>
      </w:r>
      <w:r>
        <w:t xml:space="preserve"> by holding that the offset provisions of Code of Civil Procedure section 877(a) are ineffective in construction defect cases where the plaintiff has not directly sued the subcontractors, as there is no joint obligation to the plaintiff to trigger the credit.</w:t>
      </w:r>
    </w:p>
    <w:p>
      <w:pPr>
        <w:spacing w:before="240" w:after="240"/>
      </w:pPr>
      <w:r>
        <w:rPr>
          <w:b/>
          <w:i/>
          <w:color w:val="3A0517"/>
        </w:rPr>
        <w:t>Other Relevant Precedence</w:t>
      </w:r>
    </w:p>
    <w:p>
      <w:pPr>
        <w:spacing w:before="0" w:after="0"/>
      </w:pPr>
      <w:r>
        <w:rPr>
          <w:b/>
        </w:rPr>
        <w:t>1. Franklin Mint Co. v. Superior Court, 130 Cal.App.4th 1550:</w:t>
      </w:r>
      <w:r>
        <w:t xml:space="preserve"> This Second District case is a jurisdictional match that reinforces the policy of maximizing plaintiff recovery and ensuring that setoffs granted to nonsettling defendants are not excessive, which is the core of Appellants' equitable balancing argument.</w:t>
      </w:r>
    </w:p>
    <w:p>
      <w:pPr>
        <w:spacing w:before="0" w:after="0"/>
      </w:pPr>
      <w:r>
        <w:rPr>
          <w:b/>
        </w:rPr>
        <w:t>2. Jones v. John Crane, Inc., 132 Cal.App.4th 990:</w:t>
      </w:r>
      <w:r>
        <w:t xml:space="preserve"> This case provides a strong application of the rule that settling parties must furnish an evidentiary showing of a rational basis for allocations to prevent the manipulation of credits, directly addressing the Appellants' contention that the Bisel settlement included unrelated claims.</w:t>
      </w:r>
    </w:p>
    <w:p>
      <w:pPr>
        <w:spacing w:before="0" w:after="0"/>
      </w:pPr>
      <w:r>
        <w:rPr>
          <w:b/>
        </w:rPr>
        <w:t>3. Dole Food Co. v. Superior Court, 242 Cal.App.4th 894:</w:t>
      </w:r>
      <w:r>
        <w:t xml:space="preserve"> This case reinforces the requirement for an evidentiary showing to justify allocations that exclude portions of a settlement from a setoff, providing a more recent application of the substantial evidence standard used in </w:t>
      </w:r>
      <w:r>
        <w:rPr>
          <w:i/>
        </w:rPr>
        <w:t>Erreca's</w:t>
      </w:r>
      <w:r>
        <w:t>.</w:t>
      </w:r>
    </w:p>
    <w:p>
      <w:pPr>
        <w:spacing w:before="0" w:after="0"/>
      </w:pPr>
      <w:r>
        <w:rPr>
          <w:b/>
        </w:rPr>
        <w:t>4. Hellam v. Crane Co., 239 Cal.App.4th 851:</w:t>
      </w:r>
      <w:r>
        <w:t xml:space="preserve"> This case specifically applies the </w:t>
      </w:r>
      <w:r>
        <w:rPr>
          <w:i/>
        </w:rPr>
        <w:t>Erreca's</w:t>
      </w:r>
      <w:r>
        <w:t xml:space="preserve"> principle that the injured plaintiff has a right to ensure a setoff is not excessive, which is the specific "equitable balancing" point the Appellants claim the trial court ignored.</w:t>
      </w:r>
    </w:p>
    <w:p>
      <w:pPr>
        <w:spacing w:before="0" w:after="0"/>
      </w:pPr>
      <w:r>
        <w:rPr>
          <w:b/>
        </w:rPr>
        <w:t>5. Dillingham Construction, N.A. v. Nadel Partnership, Inc., 64 Cal.App.4th 264:</w:t>
      </w:r>
      <w:r>
        <w:t xml:space="preserve"> This Second District case is a primary authority for the requirement that settling parties explain and provide an evidentiary basis for allocations in multi-claim litigation, which is the procedural heart of the Appellants' appeal regarding the Bisel settlement.</w:t>
      </w:r>
    </w:p>
    <w:p>
      <w:r>
        <w:br w:type="page"/>
      </w:r>
    </w:p>
    <w:p>
      <w:pPr>
        <w:spacing w:before="0" w:after="0"/>
      </w:pPr>
      <w:r/>
      <w:hyperlink w:anchor="accurate">
        <w:r>
          <w:rPr/>
          <w:t xml:space="preserve">↑ Triage</w:t>
        </w:r>
      </w:hyperlink>
    </w:p>
    <w:p>
      <w:pPr>
        <w:pStyle w:val="Heading3"/>
      </w:pPr>
      <w:r>
        <w:bookmarkStart w:id="41" w:name="dillinghamco35"/>
        <w:bookmarkEnd w:id="41" w:name="dillinghamco35"/>
      </w:r>
      <w:r>
        <w:t>Dillingham Const., N.A., Inc. v. Nadel P'ship, Inc. 64 Cal.App.4th 264</w:t>
      </w:r>
    </w:p>
    <w:p>
      <w:pPr>
        <w:spacing w:before="240" w:after="240"/>
      </w:pPr>
      <w:r>
        <w:rPr>
          <w:b/>
          <w:i/>
          <w:color w:val="3A0517"/>
        </w:rPr>
        <w:t>Use of Citation</w:t>
      </w:r>
      <w:r>
        <w:t xml:space="preserve"> 🟢</w:t>
      </w:r>
    </w:p>
    <w:p>
      <w:pPr>
        <w:spacing w:before="0" w:after="0"/>
      </w:pPr>
      <w:r>
        <w:t>The brief cites Dillingham Const., N.A., Inc. v. Nadel P'ship, Inc. to support the legal rule that settlements covering multiple distinct claims require allocation (p. 37). It further relies on the case for the proposition that when a plaintiff demonstrates "that none of the consideration paid for the settlement related to the joint causes of action," the remaining defendants are not entitled to a credit or offset for that settlement (p. 43). In terms of context, the brief argues that the Bisel settlement was structurally similar to the settlement in Dillingham because it resolved several distinct matters—including a privacy lawsuit, an advance payment dispute, and an AKT cross-complaint—that were unrelated to the Band Pro defendants' conduct (p. 36-37). The brief interprets Dillingham as a mandate for courts to distinguish between joint and separate causes of action to prevent defendants from receiving an unearned windfall from settlements of claims in which they had no involvement (p. 37, 43). The brief employs an analogical application by stating the "structure mirrors" Dillingham regarding the need for allocation across distinct claims (p. 37) and directly applies the legal principle that a setoff is improper if the settlement consideration is shown to be unrelated to the joint causes of action (p. 43).</w:t>
      </w:r>
    </w:p>
    <w:p>
      <w:pPr>
        <w:spacing w:before="240" w:after="240"/>
      </w:pPr>
      <w:r>
        <w:rPr>
          <w:b/>
          <w:i/>
          <w:color w:val="3A0517"/>
        </w:rPr>
        <w:t>Accuracy Review</w:t>
      </w:r>
    </w:p>
    <w:p>
      <w:pPr>
        <w:spacing w:before="0" w:after="0"/>
      </w:pPr>
      <w:r>
        <w:t>The brief's citation of Dillingham Const., N.A., Inc. v. Nadel P'ship, Inc. is a highly accurate and doctrinally sound application of the case's principles. Although Dillingham arose in the context of an indemnity action between a settling defendant and a non-settling defendant, its core reasoning is built upon the interpretation of Code of Civil Procedure sections 877 and 877.6, which are the exact statutes at issue in the brief's challenge to the Bisel settlement offset. The brief correctly identifies the 'structure' of Dillingham—a multiparty, multiclaim settlement—as a direct parallel to the Bisel settlement, which resolved a variety of distinct legal harms (privacy violations, advance payment disputes, and unrelated leases). By citing Dillingham for the proposition that settlements covering multiple distinct claims require allocation to establish a proper offset, the brief accurately captures the Second District's insistence on transparency and adversarial negotiation in settlement valuations. Furthermore, the brief correctly applies the burden-shifting logic found on page 288 of Dillingham, which requires the party opposing a full credit to demonstrate that specific settlement consideration was unrelated to the joint causes of action. There is no contextual distortion or overextension; the brief uses Dillingham to reinforce the mandatory nature of equitable balancing and factual allocation in complex settlements.</w:t>
      </w:r>
    </w:p>
    <w:p>
      <w:pPr>
        <w:spacing w:before="240" w:after="240"/>
      </w:pPr>
      <w:r>
        <w:rPr>
          <w:b/>
          <w:i/>
          <w:color w:val="3A0517"/>
        </w:rPr>
        <w:t>Use of Quotes</w:t>
      </w:r>
      <w:r>
        <w:bookmarkStart w:id="42" w:name="dillinghamco36"/>
        <w:bookmarkEnd w:id="42" w:name="dillinghamco36"/>
      </w:r>
    </w:p>
    <w:p>
      <w:pPr>
        <w:spacing w:before="240" w:after="240"/>
      </w:pPr>
      <w:r>
        <w:t xml:space="preserve">🟢 </w:t>
      </w:r>
      <w:r>
        <w:rPr>
          <w:b/>
          <w:i/>
          <w:color w:val="3A0517"/>
        </w:rPr>
        <w:t>Quote 1 - 64 Cal.App.4th at p. 288</w:t>
      </w:r>
    </w:p>
    <w:p>
      <w:pPr>
        <w:pStyle w:val="Quote"/>
      </w:pPr>
      <w:r>
        <w:t>that none of the consideration paid for the settlement related to the joint causes of action</w:t>
      </w:r>
    </w:p>
    <w:p>
      <w:pPr>
        <w:spacing w:before="0" w:after="0"/>
      </w:pPr>
      <w:r>
        <w:t>The quote 'that none of the consideration paid for the settlement related to the joint causes of action' exists verbatim on page 288 of the Dillingham opinion. It is part of the court's summary of the holding in Knox v. County of Los Angeles, which the Dillingham court adopted to explain when a defendant is entitled to a full setoff of an unallocated settlement. The brief uses this quote to accurately describe the evidentiary showing required to exclude settlement amounts from an offset calculation.</w:t>
      </w:r>
    </w:p>
    <w:p>
      <w:pPr>
        <w:spacing w:before="240" w:after="240"/>
      </w:pPr>
      <w:r>
        <w:rPr>
          <w:b/>
          <w:i/>
          <w:color w:val="3A0517"/>
        </w:rPr>
        <w:t>Applicable Negative Treatment</w:t>
      </w:r>
    </w:p>
    <w:p>
      <w:pPr>
        <w:spacing w:before="0" w:after="0"/>
      </w:pPr>
      <w:r>
        <w:rPr>
          <w:b/>
        </w:rPr>
        <w:t>1. Ehret v. Congoleum Corp., 73 Cal.App.4th 1308:</w:t>
      </w:r>
      <w:r>
        <w:t xml:space="preserve"> This case limits </w:t>
      </w:r>
      <w:r>
        <w:rPr>
          <w:i/>
        </w:rPr>
        <w:t>Dillingham</w:t>
      </w:r>
      <w:r>
        <w:t>’s requirement that a plaintiff must disclose settlement terms to justify an allocation, holding that even without such disclosure, a court may allocate a settlement between economic and noneconomic damages based on the jury's verdict ratio.</w:t>
      </w:r>
    </w:p>
    <w:p>
      <w:pPr>
        <w:spacing w:before="0" w:after="0"/>
      </w:pPr>
      <w:r>
        <w:rPr>
          <w:b/>
        </w:rPr>
        <w:t>2. Jhaveri v. Teitelbaum, 176 Cal.App.4th 740:</w:t>
      </w:r>
      <w:r>
        <w:t xml:space="preserve"> This case distinguishes </w:t>
      </w:r>
      <w:r>
        <w:rPr>
          <w:i/>
        </w:rPr>
        <w:t>Dillingham</w:t>
      </w:r>
      <w:r>
        <w:t xml:space="preserve"> by clarifying that its holdings regarding settlement offsets under Code of Civil Procedure sections 877 and 877.6 apply only to prejudgment settlements and are inapplicable to postjudgment settlements.</w:t>
      </w:r>
    </w:p>
    <w:p>
      <w:pPr>
        <w:spacing w:before="240" w:after="240"/>
      </w:pPr>
      <w:r>
        <w:rPr>
          <w:b/>
          <w:i/>
          <w:color w:val="3A0517"/>
        </w:rPr>
        <w:t>Other Relevant Precedence</w:t>
      </w:r>
    </w:p>
    <w:p>
      <w:pPr>
        <w:spacing w:before="0" w:after="0"/>
      </w:pPr>
      <w:r>
        <w:rPr>
          <w:b/>
        </w:rPr>
        <w:t>1. Ehret v. Congoleum Corp., 73 Cal. App. 4th 1308:</w:t>
      </w:r>
      <w:r>
        <w:t xml:space="preserve"> This Second District case refines the </w:t>
      </w:r>
      <w:r>
        <w:rPr>
          <w:i/>
        </w:rPr>
        <w:t>Dillingham</w:t>
      </w:r>
      <w:r>
        <w:t xml:space="preserve"> rule by holding that even if settlement terms are not disclosed to justify a specific allocation, the court is not required to apply a full offset; instead, it may use the jury's verdict ratio to allocate the settlement, providing a more specific "equitable balancing" mechanism than </w:t>
      </w:r>
      <w:r>
        <w:rPr>
          <w:i/>
        </w:rPr>
        <w:t>Dillingham</w:t>
      </w:r>
      <w:r>
        <w:t xml:space="preserve"> alone.</w:t>
      </w:r>
    </w:p>
    <w:p>
      <w:pPr>
        <w:spacing w:before="0" w:after="0"/>
      </w:pPr>
      <w:r>
        <w:rPr>
          <w:b/>
        </w:rPr>
        <w:t>2. Jhaveri v. Teitelbaum, 176 Cal. App. 4th 740:</w:t>
      </w:r>
      <w:r>
        <w:t xml:space="preserve"> This Second District case confirms that </w:t>
      </w:r>
      <w:r>
        <w:rPr>
          <w:i/>
        </w:rPr>
        <w:t>Dillingham</w:t>
      </w:r>
      <w:r>
        <w:t xml:space="preserve"> and the offset rules of Code of Civil Procedure section 877 apply specifically to prejudgment settlements, making it the definitive authority for the Bisel settlement discussed in the brief.</w:t>
      </w:r>
    </w:p>
    <w:p>
      <w:pPr>
        <w:spacing w:before="0" w:after="0"/>
      </w:pPr>
      <w:r>
        <w:rPr>
          <w:b/>
        </w:rPr>
        <w:t>3. Gackstetter v. Frawley, 135 Cal. App. 4th 1257:</w:t>
      </w:r>
      <w:r>
        <w:t xml:space="preserve"> This Second District case reinforces </w:t>
      </w:r>
      <w:r>
        <w:rPr>
          <w:i/>
        </w:rPr>
        <w:t>Dillingham</w:t>
      </w:r>
      <w:r>
        <w:t>'s requirement that allocations must be addressed during good faith determinations when a settling plaintiff intends to pursue nonsettling defendants, directly supporting the brief's argument that the trial court's failure to allocate was a procedural error.</w:t>
      </w:r>
    </w:p>
    <w:p>
      <w:r>
        <w:br w:type="page"/>
      </w:r>
    </w:p>
    <w:p>
      <w:pPr>
        <w:spacing w:before="0" w:after="0"/>
      </w:pPr>
      <w:r/>
      <w:hyperlink w:anchor="accurate">
        <w:r>
          <w:rPr/>
          <w:t xml:space="preserve">↑ Triage</w:t>
        </w:r>
      </w:hyperlink>
    </w:p>
    <w:p>
      <w:pPr>
        <w:pStyle w:val="Heading3"/>
      </w:pPr>
      <w:r>
        <w:bookmarkStart w:id="43" w:name="johnsonvstan37"/>
        <w:bookmarkEnd w:id="43" w:name="johnsonvstan37"/>
      </w:r>
      <w:r>
        <w:t>Johnson v. Stanhiser 72 Cal.App.4th 357</w:t>
      </w:r>
    </w:p>
    <w:p>
      <w:pPr>
        <w:spacing w:before="240" w:after="240"/>
      </w:pPr>
      <w:r>
        <w:rPr>
          <w:b/>
          <w:i/>
          <w:color w:val="3A0517"/>
        </w:rPr>
        <w:t>Use of Citation</w:t>
      </w:r>
      <w:r>
        <w:t xml:space="preserve"> 🟢</w:t>
      </w:r>
    </w:p>
    <w:p>
      <w:pPr>
        <w:spacing w:before="0" w:after="0"/>
      </w:pPr>
      <w:r>
        <w:t>In the APPELLANTS’ CORRECTED OPENING BRIEF - R - BAND DEFENDANTS AND BROOKS, the appellants cite Johnson v. Stanhiser, 72 Cal.App.4th 357, to support the legal rule that a defaulting defendant is deemed to have admitted all material allegations contained in the plaintiff's complaint (p. 40). This citation appears within the context of the appellants' argument regarding the 'Impact of the GroundSeven Default Judgment on the Offset' (p. 39). The appellants argue that the trial court erred by limiting the damages against the defaulting defendant, GroundSeven, to only the 16 transactions presented at the jury trial (p. 40). By citing Johnson, the appellants interpret the law to mean that because GroundSeven defaulted, it admitted to the 'broader scope of liability' alleged in the complaint, which encompassed all 57 or 65 transactions, not just the 16 litigated against the appearing defendants (p. 40). The brief directly applies this concept of 'admission by default' to argue that the GroundSeven judgment should have been calculated based on the full scope of the fraudulent scheme, which would in turn affect the equitable allocation of the Bisel settlement offset (p. 40-41).</w:t>
      </w:r>
    </w:p>
    <w:p>
      <w:pPr>
        <w:spacing w:before="240" w:after="240"/>
      </w:pPr>
      <w:r>
        <w:rPr>
          <w:b/>
          <w:i/>
          <w:color w:val="3A0517"/>
        </w:rPr>
        <w:t>Accuracy Review</w:t>
      </w:r>
    </w:p>
    <w:p>
      <w:pPr>
        <w:spacing w:before="0" w:after="0"/>
      </w:pPr>
      <w:r>
        <w:t>The citation to Johnson v. Stanhiser in the Appellants' brief is highly accurate and appropriately applied. The brief uses the case to support the well-settled procedural rule that a default serves as an admission of the material allegations in the operative complaint. This directly mirrors the language in Johnson (quoting Taliaferro v. Davis) stating that a defaulting party 'confesses the material allegations.' Furthermore, the brief's application of this rule to argue against the trial court's limitation of damages is consistent with Johnson’s core reasoning: that once a plaintiff establishes a prima facie case based on those admitted allegations and supporting evidence, the trial court must render a judgment for the sum that appears just. The brief correctly identifies that the trial court's decision to ignore evidence of the broader 57-transaction scheme—despite the 'confession' inherent in the default—parallels the error in Johnson where the trial court ignored evidence of specific converted assets. The outcome alignment is strong, as both the brief and the cited case argue against a trial court's authority to arbitrarily minimize a default award when a prima facie showing of higher damages has been made.</w:t>
      </w:r>
    </w:p>
    <w:p>
      <w:pPr>
        <w:spacing w:before="240" w:after="240"/>
      </w:pPr>
      <w:r>
        <w:rPr>
          <w:b/>
          <w:i/>
          <w:color w:val="3A0517"/>
        </w:rPr>
        <w:t>Applicable Negative Treatment</w:t>
      </w:r>
    </w:p>
    <w:p>
      <w:pPr>
        <w:spacing w:before="0" w:after="0"/>
      </w:pPr>
      <w:r>
        <w:rPr>
          <w:b/>
        </w:rPr>
        <w:t>Siry Investment, LP v. Farkhondehpour, 45 Cal.App.5th 1098:</w:t>
      </w:r>
      <w:r>
        <w:t xml:space="preserve"> This case limits the principle that a defaulting defendant "confesses" all material allegations by clarifying the trial court's role as a "gatekeeper." It holds that the court must still ensure the plaintiff establishes a prima facie case for each specific type of damages sought under the relevant legal doctrines and well-pled allegations, rather than acting as a "rubber stamp" for the complaint's claims.</w:t>
      </w:r>
    </w:p>
    <w:p>
      <w:pPr>
        <w:spacing w:before="0" w:after="0"/>
      </w:pPr>
      <w:r>
        <w:rPr>
          <w:b/>
        </w:rPr>
        <w:t>Harbour Vista, LLC v. HSBC Mortgage Services Inc., 201 Cal.App.4th 1496:</w:t>
      </w:r>
      <w:r>
        <w:t xml:space="preserve"> This case limits the application of the prima facie evidentiary standard for default judgments by holding it is inapplicable in quiet title actions. In such matters, Code of Civil Procedure section 764.010 requires a more rigorous evidentiary showing and prohibits the entry of judgment based on the admission of allegations through default alone.</w:t>
      </w:r>
    </w:p>
    <w:p>
      <w:pPr>
        <w:spacing w:before="240" w:after="240"/>
      </w:pPr>
      <w:r>
        <w:rPr>
          <w:b/>
          <w:i/>
          <w:color w:val="3A0517"/>
        </w:rPr>
        <w:t>Other Relevant Precedence</w:t>
      </w:r>
    </w:p>
    <w:p>
      <w:pPr>
        <w:spacing w:before="0" w:after="0"/>
      </w:pPr>
      <w:r>
        <w:rPr>
          <w:b/>
        </w:rPr>
        <w:t>1. Siry Investment, LP v. Farkhondehpour, 45 Cal.App.5th 1098:</w:t>
      </w:r>
      <w:r>
        <w:t xml:space="preserve"> This Second District case is more on-point as it adopts the "prima facie case" requirement for default judgments and clarifies the court's role in assessing damages based on well-pled allegations, providing a jurisdictional match for the core of the appellants' argument regarding GroundSeven.</w:t>
      </w:r>
    </w:p>
    <w:p>
      <w:pPr>
        <w:spacing w:before="0" w:after="0"/>
      </w:pPr>
      <w:r>
        <w:rPr>
          <w:b/>
        </w:rPr>
        <w:t>2. Pannu v. Land Rover North America, Inc., 191 Cal.App.4th 1298:</w:t>
      </w:r>
      <w:r>
        <w:t xml:space="preserve"> This Second District case provides a jurisdictional match for the standard of review regarding damage awards, a principle for which </w:t>
      </w:r>
      <w:r>
        <w:rPr>
          <w:i/>
        </w:rPr>
        <w:t>Johnson</w:t>
      </w:r>
      <w:r>
        <w:t xml:space="preserve"> is frequently cited and which is relevant to the appellants' broader challenge of the trial court's financial rulings.</w:t>
      </w:r>
    </w:p>
    <w:p>
      <w:pPr>
        <w:spacing w:before="0" w:after="0"/>
      </w:pPr>
      <w:r>
        <w:rPr>
          <w:b/>
        </w:rPr>
        <w:t>3. Harbour Vista, LLC v. HSBC Mortgage Services Inc., 201 Cal.App.4th 1496:</w:t>
      </w:r>
      <w:r>
        <w:t xml:space="preserve"> This case offers a more contemporary and thorough analysis of the "prima facie" standard in default prove-up hearings and the legal effect of a defendant's admission of material allegations by defaulting.</w:t>
      </w:r>
    </w:p>
    <w:p>
      <w:r>
        <w:br w:type="page"/>
      </w:r>
    </w:p>
    <w:p>
      <w:pPr>
        <w:spacing w:before="0" w:after="0"/>
      </w:pPr>
      <w:r/>
      <w:hyperlink w:anchor="accurate">
        <w:r>
          <w:rPr/>
          <w:t xml:space="preserve">↑ Triage</w:t>
        </w:r>
      </w:hyperlink>
    </w:p>
    <w:p>
      <w:pPr>
        <w:pStyle w:val="Heading3"/>
      </w:pPr>
      <w:r>
        <w:bookmarkStart w:id="44" w:name="kahnvlasorda38"/>
        <w:bookmarkEnd w:id="44" w:name="kahnvlasorda38"/>
      </w:r>
      <w:r>
        <w:t>Kahn v. Lasorda's Dugout, Inc. 109 Cal.App.4th 1118</w:t>
      </w:r>
    </w:p>
    <w:p>
      <w:pPr>
        <w:spacing w:before="240" w:after="240"/>
      </w:pPr>
      <w:r>
        <w:rPr>
          <w:b/>
          <w:i/>
          <w:color w:val="3A0517"/>
        </w:rPr>
        <w:t>Use of Citation</w:t>
      </w:r>
      <w:r>
        <w:t xml:space="preserve"> 🟢</w:t>
      </w:r>
    </w:p>
    <w:p>
      <w:pPr>
        <w:spacing w:before="0" w:after="0"/>
      </w:pPr>
      <w:r>
        <w:t>The brief cites Kahn v. Lasorda's Dugout, Inc. to support the legal rule that a failure to exercise discretion constitutes an abuse of discretion (p. 42). This citation occurs within the context of the appellants' argument that the trial court committed reversible error by failing to perform the mandatory equitable balancing analysis required for good faith settlement offsets under Code of Civil Procedure sections 877(a) and 877.6 (p. 41). The appellants interpret the legal reasoning in Kahn as establishing that when a court has a duty to perform a discretionary analysis but ignores it entirely, it acts outside the scope of its authority. The brief directly applies this concept to the trial court's conduct, arguing that the court's failure to perform mandatory analyses—specifically the equitable balancing for settlement offsets and adherence to the arbitration agreement—constitutes an abuse of discretion under the standard set forth in Kahn (p. 42).</w:t>
      </w:r>
    </w:p>
    <w:p>
      <w:pPr>
        <w:spacing w:before="240" w:after="240"/>
      </w:pPr>
      <w:r>
        <w:rPr>
          <w:b/>
          <w:i/>
          <w:color w:val="3A0517"/>
        </w:rPr>
        <w:t>Accuracy Review</w:t>
      </w:r>
    </w:p>
    <w:p>
      <w:pPr>
        <w:spacing w:before="0" w:after="0"/>
      </w:pPr>
      <w:r>
        <w:t>The citation to Kahn v. Lasorda's Dugout, Inc. is an accurate application of a fundamental legal principle. The brief correctly extracts the core holding of Kahn—that a trial court's failure to exercise the discretion it possesses is an abuse of discretion—and applies it to the trial court's alleged failure to perform the equitable balancing required by CCP 877. While the factual context of Kahn (admissibility of copies of promissory notes under a court rule) differs from the context of the brief (equitable balancing for settlement offsets), the underlying doctrinal principle is identical: when the law requires or permits a court to exercise judgment or weigh competing interests, the court's total failure to do so is a procedural error. The brief does not overextend the principle; rather, it uses Kahn as a standard authority for the consequences of judicial inaction where the law mandates an exercise of discretion or a specific analytical weighing process.</w:t>
      </w:r>
    </w:p>
    <w:p>
      <w:pPr>
        <w:spacing w:before="240" w:after="240"/>
      </w:pPr>
      <w:r>
        <w:rPr>
          <w:b/>
          <w:i/>
          <w:color w:val="3A0517"/>
        </w:rPr>
        <w:t>Other Relevant Precedence</w:t>
      </w:r>
    </w:p>
    <w:p>
      <w:pPr>
        <w:spacing w:before="0" w:after="0"/>
      </w:pPr>
      <w:r>
        <w:rPr>
          <w:b/>
        </w:rPr>
        <w:t>1. Riskin v. Downtown Los Angeles Property Owners Assn., 76 Cal.App.5th 438:</w:t>
      </w:r>
      <w:r>
        <w:t xml:space="preserve"> This Second District case is highly on-point as it applies the </w:t>
      </w:r>
      <w:r>
        <w:rPr>
          <w:i/>
        </w:rPr>
        <w:t>Kahn</w:t>
      </w:r>
      <w:r>
        <w:t xml:space="preserve"> principle to a trial court's failure to recognize and exercise its discretion, which is the core procedural error alleged in the brief regarding the trial court's failure to perform equitable balancing.</w:t>
      </w:r>
    </w:p>
    <w:p>
      <w:pPr>
        <w:spacing w:before="0" w:after="0"/>
      </w:pPr>
      <w:r>
        <w:rPr>
          <w:b/>
        </w:rPr>
        <w:t>2. Alvarez v. Superior Court, 183 Cal.App.4th 969:</w:t>
      </w:r>
      <w:r>
        <w:t xml:space="preserve"> Also from the Second District, this case reinforces the </w:t>
      </w:r>
      <w:r>
        <w:rPr>
          <w:i/>
        </w:rPr>
        <w:t>Kahn</w:t>
      </w:r>
      <w:r>
        <w:t xml:space="preserve"> holding that a failure to exercise discretion is an abuse of discretion, specifically in the context of a trial judge mistakenly believing they were bound by a procedure rather than exercising their inherent authority.</w:t>
      </w:r>
    </w:p>
    <w:p>
      <w:r>
        <w:br w:type="page"/>
      </w:r>
    </w:p>
    <w:p>
      <w:pPr>
        <w:spacing w:before="0" w:after="0"/>
      </w:pPr>
      <w:r/>
      <w:hyperlink w:anchor="accurate">
        <w:r>
          <w:rPr/>
          <w:t xml:space="preserve">↑ Triage</w:t>
        </w:r>
      </w:hyperlink>
    </w:p>
    <w:p>
      <w:pPr>
        <w:pStyle w:val="Heading3"/>
      </w:pPr>
      <w:r>
        <w:bookmarkStart w:id="45" w:name="peoplevorabu39"/>
        <w:bookmarkEnd w:id="45" w:name="peoplevorabu39"/>
      </w:r>
      <w:r>
        <w:t>People v. Orabuena 116 Cal.App.4th 84</w:t>
      </w:r>
    </w:p>
    <w:p>
      <w:pPr>
        <w:spacing w:before="240" w:after="240"/>
      </w:pPr>
      <w:r>
        <w:rPr>
          <w:b/>
          <w:i/>
          <w:color w:val="3A0517"/>
        </w:rPr>
        <w:t>Use of Citation</w:t>
      </w:r>
      <w:r>
        <w:t xml:space="preserve"> 🟢</w:t>
      </w:r>
    </w:p>
    <w:p>
      <w:pPr>
        <w:spacing w:before="0" w:after="0"/>
      </w:pPr>
      <w:r>
        <w:t>In the APPELLANTS’ CORRECTED OPENING BRIEF - R - BAND DEFENDANTS AND BROOKS, the case People v. Orabuena (2004) 116 Cal.App.4th 84 is cited to support the legal rule that a trial court's failure to exercise its discretion, or acting on a mistaken view of the scope of that discretion, constitutes an abuse of discretion (p. 42). The context of this citation relates to the trial court's failure to perform a mandatory equitable balancing analysis when determining the good faith settlement offset under Code of Civil Procedure sections 877 and 877.6 (p. 41-42). The appellants argue that the trial court ignored their requests for equitable balancing and failed to adhere to the arbitration agreement within the settlement (p. 42). The legal reasoning from Orabuena is interpreted as a standard for identifying an abuse of discretion when a court fails to engage in a required discretionary analysis (p. 42). The brief directly applies this concept by asserting that the trial court's silence and subsequent perfunctory dismissal of the equitable balancing requirement was a failure to exercise discretion, thereby necessitating reversal (p. 42-43).</w:t>
      </w:r>
    </w:p>
    <w:p>
      <w:pPr>
        <w:spacing w:before="240" w:after="240"/>
      </w:pPr>
      <w:r>
        <w:rPr>
          <w:b/>
          <w:i/>
          <w:color w:val="3A0517"/>
        </w:rPr>
        <w:t>Accuracy Review</w:t>
      </w:r>
    </w:p>
    <w:p>
      <w:pPr>
        <w:spacing w:before="0" w:after="0"/>
      </w:pPr>
      <w:r>
        <w:t>The citation to People v. Orabuena is an accurate application of a general legal principle, though it involves a contextual overextension from criminal to civil law. The Appellants correctly identify the standard for an abuse of discretion: a court must actually exercise the discretion it possesses, and a failure to do so (or a failure based on a misunderstanding of the law) is reversible error. In Orabuena, the trial court mistakenly believed it lacked the power to dismiss a misdemeanor to make a defendant eligible for drug treatment; here, the Appellants argue the trial court mistakenly believed it did not need to perform an equitable balancing test for a settlement offset. While the factual and statutory frameworks are entirely different (Proposition 36 vs. CCP 877), the underlying procedural rule regarding the 'failure to exercise discretion' is a well-settled principle of California law for which Orabuena is a recognized authority. The citation is technically sound as it supports the specific procedural point regarding the trial court's silence on a mandatory analysis.</w:t>
      </w:r>
    </w:p>
    <w:p>
      <w:pPr>
        <w:spacing w:before="240" w:after="240"/>
      </w:pPr>
      <w:r>
        <w:rPr>
          <w:b/>
          <w:i/>
          <w:color w:val="3A0517"/>
        </w:rPr>
        <w:t>Use of Quotes</w:t>
      </w:r>
      <w:r>
        <w:bookmarkStart w:id="46" w:name="peoplevorabu40"/>
        <w:bookmarkEnd w:id="46" w:name="peoplevorabu40"/>
      </w:r>
    </w:p>
    <w:p>
      <w:pPr>
        <w:spacing w:before="240" w:after="240"/>
      </w:pPr>
      <w:r>
        <w:t xml:space="preserve">🟡 </w:t>
      </w:r>
      <w:r>
        <w:rPr>
          <w:b/>
          <w:i/>
          <w:color w:val="3A0517"/>
        </w:rPr>
        <w:t>Quote 1 - 116 Cal.App.4th 84, 100</w:t>
      </w:r>
    </w:p>
    <w:p>
      <w:pPr>
        <w:pStyle w:val="Quote"/>
      </w:pPr>
      <w:r>
        <w:t>acting on mistaken view of discretion's scope is abuse of discretion</w:t>
      </w:r>
    </w:p>
    <w:p>
      <w:pPr>
        <w:spacing w:before="0" w:after="0"/>
      </w:pPr>
      <w:r>
        <w:t>The quote 'acting on mistaken view of discretion's scope is abuse of discretion' does not appear as a verbatim string of text in People v. Orabuena. However, the substance of this statement is found on page 99 ('A failure to exercise discretion is an abuse of discretion') and page 100, where the court discusses the 'mistaken belief regarding its authority' to exercise discretion. The brief appears to be paraphrasing the court's holding or quoting a headnote/summary rather than the direct body text of the opinion. While the legal sentiment is contextually complete and accurate to the court's reasoning, it is not a literal quote from the text of the decision.</w:t>
      </w:r>
    </w:p>
    <w:p>
      <w:pPr>
        <w:spacing w:before="240" w:after="240"/>
      </w:pPr>
      <w:r>
        <w:rPr>
          <w:b/>
          <w:i/>
          <w:color w:val="3A0517"/>
        </w:rPr>
        <w:t>Other Relevant Precedence</w:t>
      </w:r>
    </w:p>
    <w:p>
      <w:pPr>
        <w:spacing w:before="0" w:after="0"/>
      </w:pPr>
      <w:r>
        <w:rPr>
          <w:b/>
        </w:rPr>
        <w:t>1. Kim v. Euromotors West/The Auto Gallery, 149 Cal. App. 4th 170:</w:t>
      </w:r>
      <w:r>
        <w:t xml:space="preserve"> This is a civil case from the Second Appellate District (matching the jurisdiction of the brief) that cites </w:t>
      </w:r>
      <w:r>
        <w:rPr>
          <w:i/>
        </w:rPr>
        <w:t>Orabuena</w:t>
      </w:r>
      <w:r>
        <w:t xml:space="preserve"> for the specific proposition that a failure to exercise discretion is an abuse of discretion. It is highly on-point as it applies this principle to a trial court's mistaken belief that it lacked the authority to make a "prevailing party" determination following a settlement, which mirrors the brief's argument regarding the trial court's failure to perform equitable balancing or honor an arbitration clause.</w:t>
      </w:r>
    </w:p>
    <w:p>
      <w:pPr>
        <w:spacing w:before="0" w:after="0"/>
      </w:pPr>
      <w:r>
        <w:rPr>
          <w:b/>
        </w:rPr>
        <w:t>2. Caverly v. Gray, 155 Cal. App. 4th 504:</w:t>
      </w:r>
      <w:r>
        <w:t xml:space="preserve"> This is a civil case citing </w:t>
      </w:r>
      <w:r>
        <w:rPr>
          <w:i/>
        </w:rPr>
        <w:t>Orabuena</w:t>
      </w:r>
      <w:r>
        <w:t xml:space="preserve"> for the standard of review that a trial court's failure to exercise discretion is itself an abuse of discretion. It is relevant as it applies the rule to a court's mistaken belief that its discretion was constrained by a prior judgment.</w:t>
      </w:r>
    </w:p>
    <w:p>
      <w:pPr>
        <w:spacing w:before="0" w:after="0"/>
      </w:pPr>
      <w:r>
        <w:rPr>
          <w:b/>
        </w:rPr>
        <w:t>3. People v. Lettice, 221 Cal. App. 4th 139:</w:t>
      </w:r>
      <w:r>
        <w:t xml:space="preserve"> This case is from the Second Appellate District and cites </w:t>
      </w:r>
      <w:r>
        <w:rPr>
          <w:i/>
        </w:rPr>
        <w:t>Orabuena</w:t>
      </w:r>
      <w:r>
        <w:t xml:space="preserve"> for the fundamental legal principle that a failure to exercise discretion, when discretion is required, constitutes an abuse of discretion.</w:t>
      </w:r>
    </w:p>
    <w:p>
      <w:pPr>
        <w:spacing w:before="0" w:after="0"/>
      </w:pPr>
      <w:r>
        <w:rPr>
          <w:b/>
        </w:rPr>
        <w:t>4. People v. Austin, 35 Cal. App. 5th 778:</w:t>
      </w:r>
      <w:r>
        <w:t xml:space="preserve"> This case is from the Second Appellate District and cites </w:t>
      </w:r>
      <w:r>
        <w:rPr>
          <w:i/>
        </w:rPr>
        <w:t>Orabuena</w:t>
      </w:r>
      <w:r>
        <w:t xml:space="preserve"> for the principle that the "failure to exercise discretion is an abuse of discretion," specifically regarding a trial court's mistaken belief that it lacked jurisdiction to act.</w:t>
      </w:r>
    </w:p>
    <w:p>
      <w:pPr>
        <w:spacing w:before="0" w:after="0"/>
      </w:pPr>
      <w:r>
        <w:rPr>
          <w:b/>
        </w:rPr>
        <w:t>5. Nazir v. Superior Court, 79 Cal. App. 5th 478:</w:t>
      </w:r>
      <w:r>
        <w:t xml:space="preserve"> This case is from the Second Appellate District and cites </w:t>
      </w:r>
      <w:r>
        <w:rPr>
          <w:i/>
        </w:rPr>
        <w:t>Orabuena</w:t>
      </w:r>
      <w:r>
        <w:t xml:space="preserve"> regarding the scope of a court's discretion and the necessity of considering legislative goals and individualized factors when determining whether an action is in the "furtherance of justice."</w:t>
      </w:r>
    </w:p>
    <w:p>
      <w:r>
        <w:br w:type="page"/>
      </w:r>
    </w:p>
    <w:p>
      <w:pPr>
        <w:spacing w:before="0" w:after="0"/>
      </w:pPr>
      <w:r/>
      <w:hyperlink w:anchor="accurate">
        <w:r>
          <w:rPr/>
          <w:t xml:space="preserve">↑ Triage</w:t>
        </w:r>
      </w:hyperlink>
    </w:p>
    <w:p>
      <w:pPr>
        <w:pStyle w:val="Heading3"/>
      </w:pPr>
      <w:r>
        <w:bookmarkStart w:id="47" w:name="hoopesvdolan41"/>
        <w:bookmarkEnd w:id="47" w:name="hoopesvdolan41"/>
      </w:r>
      <w:r>
        <w:t>Hoopes v. Dolan 168 Cal.App.4th 146</w:t>
      </w:r>
    </w:p>
    <w:p>
      <w:pPr>
        <w:spacing w:before="240" w:after="240"/>
      </w:pPr>
      <w:r>
        <w:rPr>
          <w:b/>
          <w:i/>
          <w:color w:val="3A0517"/>
        </w:rPr>
        <w:t>Use of Citation</w:t>
      </w:r>
      <w:r>
        <w:t xml:space="preserve"> 🟢</w:t>
      </w:r>
    </w:p>
    <w:p>
      <w:pPr>
        <w:spacing w:before="0" w:after="0"/>
      </w:pPr>
      <w:r>
        <w:t>The brief cites Hoopes v. Dolan to support the legal rule that a trial court is prohibited from making findings of fact that conflict with the express or implied findings of a jury (p. 58). Specifically, it asserts that a court may not disregard jury findings on issues of fact that are common to both legal and equitable claims (p. 59). In the context of this case, the appellants use Hoopes v. Dolan to challenge the trial court's post-verdict credibility finding against Georgina Teran and its factual findings regarding the unclean hands defense. The appellants argue that the jury's fraud verdict necessarily implied that they found Teran's testimony credible regarding her lack of knowledge of the inflated invoices and her reasonable reliance on the defendants (p. 50-51). Consequently, the trial court's subsequent finding that Teran lacked credibility and its inclusion of findings supporting a rejected unclean hands defense, which presumed her knowledge of the scheme, irreconcilably conflict with the jury's verdict (p. 57-58). The brief interprets Hoopes v. Dolan as a mandate for the court to maintain the integrity of the jury's factual determinations. It directly applies this legal concept to argue that the trial court's contradictory findings constitute reversible error because the court simultaneously accepted factual scenarios that cannot coexist with the jury's verdict (p. 58).</w:t>
      </w:r>
    </w:p>
    <w:p>
      <w:pPr>
        <w:spacing w:before="240" w:after="240"/>
      </w:pPr>
      <w:r>
        <w:rPr>
          <w:b/>
          <w:i/>
          <w:color w:val="3A0517"/>
        </w:rPr>
        <w:t>Accuracy Review</w:t>
      </w:r>
    </w:p>
    <w:p>
      <w:pPr>
        <w:spacing w:before="0" w:after="0"/>
      </w:pPr>
      <w:r>
        <w:t>The brief accurately cites and applies the central legal principle from Hoopes v. Dolan. It correctly identifies the holding that in a mixed trial of legal and equitable issues where legal issues are tried first, the court must follow the jury’s factual determinations on common issues of fact (Hoopes at p. 161). The brief’s application is contextually appropriate; it argues that the jury's fraud verdict required specific factual findings (e.g., reasonable reliance and lack of knowledge) that the trial court's subsequent 'unclean hands' and 'credibility' findings directly contradict. This aligns with the reasoning in Hoopes where the appellate court found error in the judge's independent finding that parking was 'shared' after the jury found the plaintiff had the 'right to exclude.' While Hoopes ultimately affirmed the judgment based on a 'distinct facts' exception for the estoppel defense, the brief's reliance on the general rule regarding common issues of fact is a standard and accurate use of the precedent to protect the integrity of a jury's verdict.</w:t>
      </w:r>
    </w:p>
    <w:p>
      <w:pPr>
        <w:spacing w:before="240" w:after="240"/>
      </w:pPr>
      <w:r>
        <w:rPr>
          <w:b/>
          <w:i/>
          <w:color w:val="3A0517"/>
        </w:rPr>
        <w:t>Applicable Negative Treatment</w:t>
      </w:r>
    </w:p>
    <w:p>
      <w:pPr>
        <w:spacing w:before="0" w:after="0"/>
      </w:pPr>
      <w:r>
        <w:rPr>
          <w:b/>
        </w:rPr>
        <w:t>1. Nationwide Biweekly Administration, Inc. v. Superior Court, 9 Cal.5th 279:</w:t>
      </w:r>
      <w:r>
        <w:t xml:space="preserve"> The California Supreme Court distinguished </w:t>
      </w:r>
      <w:r>
        <w:rPr>
          <w:i/>
        </w:rPr>
        <w:t>Hoopes</w:t>
      </w:r>
      <w:r>
        <w:t xml:space="preserve"> to clarify that California follows an "equity first" preference. If a trial court resolves equitable issues first and those findings dispose of legal claims, there is no right to a jury trial, thereby limiting the </w:t>
      </w:r>
      <w:r>
        <w:rPr>
          <w:i/>
        </w:rPr>
        <w:t>Hoopes</w:t>
      </w:r>
      <w:r>
        <w:t xml:space="preserve"> rule's application to cases where the court allows legal issues to be tried first.</w:t>
      </w:r>
    </w:p>
    <w:p>
      <w:pPr>
        <w:spacing w:before="0" w:after="0"/>
      </w:pPr>
      <w:r>
        <w:rPr>
          <w:b/>
        </w:rPr>
        <w:t>2. Tierney v. Javaid, 24 Cal.App.5th 99:</w:t>
      </w:r>
      <w:r>
        <w:t xml:space="preserve"> This case distinguished </w:t>
      </w:r>
      <w:r>
        <w:rPr>
          <w:i/>
        </w:rPr>
        <w:t>Hoopes</w:t>
      </w:r>
      <w:r>
        <w:t xml:space="preserve"> by holding that the requirement for a judge to follow a jury's factual determinations applies only when the jury returns a complete special verdict. It does not apply to findings from a deadlocked jury that resulted in a mistrial.</w:t>
      </w:r>
    </w:p>
    <w:p>
      <w:pPr>
        <w:spacing w:before="240" w:after="240"/>
      </w:pPr>
      <w:r>
        <w:rPr>
          <w:b/>
          <w:i/>
          <w:color w:val="3A0517"/>
        </w:rPr>
        <w:t>Other Relevant Precedence</w:t>
      </w:r>
    </w:p>
    <w:p>
      <w:pPr>
        <w:spacing w:before="0" w:after="0"/>
      </w:pPr>
      <w:r>
        <w:rPr>
          <w:b/>
        </w:rPr>
        <w:t>1. Shaw v. Superior Court, 2 Cal.5th 983:</w:t>
      </w:r>
      <w:r>
        <w:t xml:space="preserve"> This California Supreme Court case provides higher-level authority for the proposition that when a jury resolves a legal claim, the trial court must give effect to that resolution in its subsequent determination of any remaining equitable issues to preserve the constitutional right to a jury trial.</w:t>
      </w:r>
    </w:p>
    <w:p>
      <w:pPr>
        <w:spacing w:before="0" w:after="0"/>
      </w:pPr>
      <w:r>
        <w:rPr>
          <w:b/>
        </w:rPr>
        <w:t>2. Nationwide Biweekly Administration, Inc. v. Superior Court, 9 Cal.5th 279:</w:t>
      </w:r>
      <w:r>
        <w:t xml:space="preserve"> This Supreme Court authority clarifies the "equity first" rule and confirms that while courts may try equitable issues first, any factual findings on common issues are binding, ensuring that the jury's role is not improperly circumvented in mixed actions.</w:t>
      </w:r>
    </w:p>
    <w:p>
      <w:pPr>
        <w:spacing w:before="0" w:after="0"/>
      </w:pPr>
      <w:r>
        <w:rPr>
          <w:b/>
        </w:rPr>
        <w:t>3. Darbun Enterprises, Inc. v. San Fernando Community Hospital, 239 Cal.App.4th 399:</w:t>
      </w:r>
      <w:r>
        <w:t xml:space="preserve"> This case is from the Second Appellate District, providing a direct jurisdictional match. It applies the principle that the first fact-finder's determination of common factual issues binds the second, specifically to promote judicial economy and minimize inconsistencies.</w:t>
      </w:r>
    </w:p>
    <w:p>
      <w:pPr>
        <w:spacing w:before="0" w:after="0"/>
      </w:pPr>
      <w:r>
        <w:rPr>
          <w:b/>
        </w:rPr>
        <w:t>4. Reliant Life Shares, LLC v. Cooper, 90 Cal.App.5th 14:</w:t>
      </w:r>
      <w:r>
        <w:t xml:space="preserve"> A recent decision from the Second Appellate District that reinforces the binding nature of a first fact-finder's determinations on a second fact-finder in mixed legal and equitable trials to prevent "two bites of the apple."</w:t>
      </w:r>
    </w:p>
    <w:p>
      <w:pPr>
        <w:spacing w:before="0" w:after="0"/>
      </w:pPr>
      <w:r>
        <w:rPr>
          <w:b/>
        </w:rPr>
        <w:t>5. Rincon EV Realty LLC v. CP III Rincon Towers Inc., 43 Cal.App.5th 988:</w:t>
      </w:r>
      <w:r>
        <w:t xml:space="preserve"> This case explicitly discusses the preclusion principle and the "equity first" rule, noting that findings made in connection with one set of claims are binding in the subsequent disposition of the other set of claims to avoid inconsistent results.</w:t>
      </w:r>
    </w:p>
    <w:p>
      <w:r>
        <w:br w:type="page"/>
      </w:r>
    </w:p>
    <w:p>
      <w:pPr>
        <w:spacing w:before="0" w:after="0"/>
      </w:pPr>
      <w:r/>
      <w:hyperlink w:anchor="accurate">
        <w:r>
          <w:rPr/>
          <w:t xml:space="preserve">↑ Triage</w:t>
        </w:r>
      </w:hyperlink>
    </w:p>
    <w:p>
      <w:pPr>
        <w:pStyle w:val="Heading3"/>
      </w:pPr>
      <w:r>
        <w:bookmarkStart w:id="48" w:name="leafvcityofs42"/>
        <w:bookmarkEnd w:id="48" w:name="leafvcityofs42"/>
      </w:r>
      <w:r>
        <w:t>Leaf v. City of San Mateo 104 Cal.App.3d 398</w:t>
      </w:r>
    </w:p>
    <w:p>
      <w:pPr>
        <w:spacing w:before="240" w:after="240"/>
      </w:pPr>
      <w:r>
        <w:rPr>
          <w:b/>
          <w:i/>
          <w:color w:val="3A0517"/>
        </w:rPr>
        <w:t>Use of Citation</w:t>
      </w:r>
      <w:r>
        <w:t xml:space="preserve"> 🟢</w:t>
      </w:r>
    </w:p>
    <w:p>
      <w:pPr>
        <w:spacing w:before="0" w:after="0"/>
      </w:pPr>
      <w:r>
        <w:t>The brief cites Leaf v. City of San Mateo to establish the legal framework for interpreting the Bisel Settlement agreement. Specifically, it asserts that a mediator's proposal must be interpreted "by applying the objective theory of contracts to determine the mutual intent of the parties as evidenced by their communications and other objective manifestations of their intent" (p. 36). Furthermore, it relies on Leaf for the principle that the "intent of the parties is ultimately a question of fact, and the mere recital of the scope of a release is not controlling" (p. 36). In the context of the equipment financing dispute, the Appellants use these rules to argue that the trial court erred by failing to consider extrinsic evidence—such as declarations from Jeffrey Bussell and Georgina Teran—to determine how the settlement funds were actually allocated among various claims (p. 36). The brief interprets Leaf as mandating a factual inquiry into intent that goes beyond the four corners of the settlement document. It directly applies this concept to argue for a remand so the trial court can make specific factual findings regarding the nature and extent of the Bisel Settlement allocation (p. 36).</w:t>
      </w:r>
    </w:p>
    <w:p>
      <w:pPr>
        <w:spacing w:before="240" w:after="240"/>
      </w:pPr>
      <w:r>
        <w:rPr>
          <w:b/>
          <w:i/>
          <w:color w:val="3A0517"/>
        </w:rPr>
        <w:t>Accuracy Review</w:t>
      </w:r>
    </w:p>
    <w:p>
      <w:pPr>
        <w:spacing w:before="0" w:after="0"/>
      </w:pPr>
      <w:r>
        <w:t>The citation to Leaf v. City of San Mateo in the Appellants' brief is an accurate application of the case's core legal principle. Leaf is the seminal authority for the proposition that the intent of parties regarding the scope of a release is a question of fact, and that boilerplate language (such as a waiver of Civil Code section 1542) is not dispositive. The brief correctly applies this to the context of a settlement offset dispute under CCP section 877. Just as the plaintiffs in Leaf were allowed to argue that a general release did not intend to discharge a successive tortfeasor, the Appellants here argue that the silence of the Bisel Settlement does not preclude a factual finding that the funds were allocated to specific, non-overlapping claims. The brief's reliance on Leaf to demand a factual inquiry into the 'mutual intent of the parties' aligns with the court's reasoning that the 'releasor's intent... is ultimately a question of fact.' While the brief also relies on other authorities like Riverisland for the admissibility of extrinsic evidence, Leaf provides the necessary doctrinal foundation for treating the scope of the settlement as a triable issue of fact rather than a pure question of law determined by the four corners of the document.</w:t>
      </w:r>
    </w:p>
    <w:p>
      <w:pPr>
        <w:spacing w:before="240" w:after="240"/>
      </w:pPr>
      <w:r>
        <w:rPr>
          <w:b/>
          <w:i/>
          <w:color w:val="3A0517"/>
        </w:rPr>
        <w:t>Use of Quotes</w:t>
      </w:r>
      <w:r>
        <w:bookmarkStart w:id="49" w:name="leafvcityofs43"/>
        <w:bookmarkEnd w:id="49" w:name="leafvcityofs43"/>
      </w:r>
    </w:p>
    <w:p>
      <w:pPr>
        <w:spacing w:before="240" w:after="240"/>
      </w:pPr>
      <w:r>
        <w:t xml:space="preserve">🔴 </w:t>
      </w:r>
      <w:r>
        <w:rPr>
          <w:b/>
          <w:i/>
          <w:color w:val="3A0517"/>
        </w:rPr>
        <w:t>Quote 1 - 104 Cal.App.3d 398, 411</w:t>
      </w:r>
    </w:p>
    <w:p>
      <w:pPr>
        <w:pStyle w:val="Quote"/>
      </w:pPr>
      <w:r>
        <w:t>by applying the objective theory of contracts to determine the mutual intent of the parties as evidenced by their communications and other objective manifestations of their intent</w:t>
      </w:r>
    </w:p>
    <w:p>
      <w:pPr>
        <w:spacing w:before="0" w:after="0"/>
      </w:pPr>
      <w:r>
        <w:t>This quote does not exist in the provided text of Leaf v. City of San Mateo. While it accurately describes the 'objective theory of contracts' which is a standard principle in California law (and is often discussed in cases citing Leaf, such as Moreno v. Sanchez), the specific phrasing attributed to Leaf at page 411 is not present in the opinion.</w:t>
      </w:r>
    </w:p>
    <w:p>
      <w:pPr>
        <w:spacing w:before="240" w:after="240"/>
      </w:pPr>
      <w:r>
        <w:t xml:space="preserve">🟢 </w:t>
      </w:r>
      <w:r>
        <w:rPr>
          <w:b/>
          <w:i/>
          <w:color w:val="3A0517"/>
        </w:rPr>
        <w:t>Quote 1 - 104 Cal.App.3d 398, 411</w:t>
      </w:r>
    </w:p>
    <w:p>
      <w:pPr>
        <w:pStyle w:val="Quote"/>
      </w:pPr>
      <w:r>
        <w:t>intent of the parties is ultimately a question of fact, and the mere recital of the scope of a release is not controlling</w:t>
      </w:r>
    </w:p>
    <w:p>
      <w:pPr>
        <w:spacing w:before="0" w:after="0"/>
      </w:pPr>
      <w:r>
        <w:t>This quote is a highly accurate synthesis of the court's statements on page 411. The court explicitly stated that 'Whether the releaser intended to discharge such claims or parties is ultimately a question of fact' and later noted that 'mere recital... is not controlling.' The brief combines these two points into a single accurate representation of the court's holding.</w:t>
      </w:r>
    </w:p>
    <w:p>
      <w:pPr>
        <w:spacing w:before="240" w:after="240"/>
      </w:pPr>
      <w:r>
        <w:rPr>
          <w:b/>
          <w:i/>
          <w:color w:val="3A0517"/>
        </w:rPr>
        <w:t>Other Relevant Precedence</w:t>
      </w:r>
    </w:p>
    <w:p>
      <w:pPr>
        <w:spacing w:before="0" w:after="0"/>
      </w:pPr>
      <w:r>
        <w:rPr>
          <w:b/>
        </w:rPr>
        <w:t>1. Butler v. Vons Companies, Inc., 140 Cal.App.4th 943:</w:t>
      </w:r>
      <w:r>
        <w:t xml:space="preserve"> This Second Appellate District case is the actual source of the "objective theory of contracts" language that the Appellants' brief attributes to </w:t>
      </w:r>
      <w:r>
        <w:rPr>
          <w:i/>
        </w:rPr>
        <w:t>Leaf</w:t>
      </w:r>
      <w:r>
        <w:t xml:space="preserve">. It specifically applies this theory to the interpretation of release agreements and cites </w:t>
      </w:r>
      <w:r>
        <w:rPr>
          <w:i/>
        </w:rPr>
        <w:t>Leaf</w:t>
      </w:r>
      <w:r>
        <w:t xml:space="preserve"> for the related principle that the scope of a release is a question of fact.</w:t>
      </w:r>
    </w:p>
    <w:p>
      <w:pPr>
        <w:spacing w:before="0" w:after="0"/>
      </w:pPr>
      <w:r>
        <w:rPr>
          <w:b/>
        </w:rPr>
        <w:t>2. Vega v. Western Employers Insurance Co., 170 Cal.App.3d 922:</w:t>
      </w:r>
      <w:r>
        <w:t xml:space="preserve"> This case is highly on-point as it reinforces the </w:t>
      </w:r>
      <w:r>
        <w:rPr>
          <w:i/>
        </w:rPr>
        <w:t>Leaf</w:t>
      </w:r>
      <w:r>
        <w:t xml:space="preserve"> holding that the intent of a releasor is a question of fact, even in the presence of a Civil Code section 1542 waiver, which is central to the Appellants' argument regarding the Bisel Settlement.</w:t>
      </w:r>
    </w:p>
    <w:p>
      <w:r>
        <w:br w:type="page"/>
      </w:r>
    </w:p>
    <w:p>
      <w:pPr>
        <w:spacing w:before="0" w:after="0"/>
      </w:pPr>
      <w:r/>
      <w:hyperlink w:anchor="accurate">
        <w:r>
          <w:rPr/>
          <w:t xml:space="preserve">↑ Triage</w:t>
        </w:r>
      </w:hyperlink>
    </w:p>
    <w:p>
      <w:pPr>
        <w:pStyle w:val="Heading3"/>
      </w:pPr>
      <w:r>
        <w:bookmarkStart w:id="50" w:name="moncharshvhe44"/>
        <w:bookmarkEnd w:id="50" w:name="moncharshvhe44"/>
      </w:r>
      <w:r>
        <w:t>Moncharsh v. Heily &amp; Blase 3 Cal.4th 1</w:t>
      </w:r>
    </w:p>
    <w:p>
      <w:pPr>
        <w:spacing w:before="240" w:after="240"/>
      </w:pPr>
      <w:r>
        <w:rPr>
          <w:b/>
          <w:i/>
          <w:color w:val="3A0517"/>
        </w:rPr>
        <w:t>Use of Citation</w:t>
      </w:r>
      <w:r>
        <w:t xml:space="preserve"> 🟢</w:t>
      </w:r>
    </w:p>
    <w:p>
      <w:pPr>
        <w:spacing w:before="0" w:after="0"/>
      </w:pPr>
      <w:r>
        <w:t>In APPELLANTS’ CORRECTED OPENING BRIEF - R - BAND DEFENDANTS AND BROOKS, the appellants cite Moncharsh v. Heily &amp; Blase (1992) 3 Cal.4th 1 to support the legal rule that California maintains a strong public policy favoring arbitration and that courts are required to enforce valid arbitration agreements unless specific grounds for revocation exist (p. 48). The citation is used within the context of the appellants' argument that the trial court committed reversible error by refusing to honor a binding arbitration clause contained in the Bisel settlement agreement (p. 47). The appellants interpret Moncharsh as establishing a mandate for courts to enforce such agreements to ensure parties receive the benefits of the arbitration process, such as expert determination and finality (p. 48). The brief directly applies the legal concepts from Moncharsh by arguing that the trial court's refusal to refer the settlement allocation dispute to the designated arbitrator, Judge Stone, was a violation of this established state policy and a breach of the parties' contractual obligations (p. 48, 61).</w:t>
      </w:r>
    </w:p>
    <w:p>
      <w:pPr>
        <w:spacing w:before="240" w:after="240"/>
      </w:pPr>
      <w:r>
        <w:rPr>
          <w:b/>
          <w:i/>
          <w:color w:val="3A0517"/>
        </w:rPr>
        <w:t>Accuracy Review</w:t>
      </w:r>
    </w:p>
    <w:p>
      <w:pPr>
        <w:spacing w:before="0" w:after="0"/>
      </w:pPr>
      <w:r>
        <w:t>The citation of Moncharsh v. Heily &amp; Blase in the Appellants' brief is an accurate application of the case's foundational principles. The Appellants correctly identify Moncharsh as the primary authority for California's 'strong public policy favoring arbitration' and the judicial mandate to 'enforce arbitration agreements unless grounds exist for revocation.' While the bulk of the Moncharsh opinion focuses on the finality of an award once rendered, that finality is explicitly predicated on the court's duty to uphold the parties' initial agreement to bypass the judicial system. The Appellants' argument—that the trial court's refusal to refer the settlement allocation dispute to the designated arbitrator was a breach of this policy—is a direct and appropriate application of the rule that courts should 'indulge every intendment to give effect to such proceedings' (Moncharsh, supra, 3 Cal.4th at p. 9). The brief correctly links the policy to the statutory requirement of CCP section 1281.2, which is the same framework analyzed by the Supreme Court in Moncharsh. There is no contextual overextension or mischaracterization; the brief uses the case to establish the high bar for a court to refuse to honor an arbitration clause, which is consistent with the original decision's reasoning.</w:t>
      </w:r>
    </w:p>
    <w:p>
      <w:pPr>
        <w:spacing w:before="240" w:after="240"/>
      </w:pPr>
      <w:r>
        <w:rPr>
          <w:b/>
          <w:i/>
          <w:color w:val="3A0517"/>
        </w:rPr>
        <w:t>Use of Quotes</w:t>
      </w:r>
      <w:r>
        <w:bookmarkStart w:id="51" w:name="moncharshvhe45"/>
        <w:bookmarkEnd w:id="51" w:name="moncharshvhe45"/>
      </w:r>
    </w:p>
    <w:p>
      <w:pPr>
        <w:spacing w:before="240" w:after="240"/>
      </w:pPr>
      <w:r>
        <w:t xml:space="preserve">🟡 </w:t>
      </w:r>
      <w:r>
        <w:rPr>
          <w:b/>
          <w:i/>
          <w:color w:val="3A0517"/>
        </w:rPr>
        <w:t>Quote 1 - 3 Cal.4th 1, 9</w:t>
      </w:r>
    </w:p>
    <w:p>
      <w:pPr>
        <w:pStyle w:val="Quote"/>
      </w:pPr>
      <w:r>
        <w:t>courts must enforce arbitration agreements unless grounds exist for revocation</w:t>
      </w:r>
    </w:p>
    <w:p>
      <w:pPr>
        <w:spacing w:before="0" w:after="0"/>
      </w:pPr>
      <w:r>
        <w:t>The phrase 'courts must enforce arbitration agreements unless grounds exist for revocation' does not appear as a verbatim sentence in the text of Moncharsh v. Heily &amp; Blase. However, it is a highly accurate distillation of the court's discussion of Code of Civil Procedure section 1281.2 on page 29, where the court states that 'the court shall compel the parties to arbitrate their dispute "unless it determines that: ... (b) Grounds exist for the revocation of the agreement."' The brief uses this phrase in a parenthetical summary rather than as a direct textual quote, though the citation information provided treats it as a quote. Contextually, it completely represents the legal requirement described by the court.</w:t>
      </w:r>
    </w:p>
    <w:p>
      <w:pPr>
        <w:spacing w:before="240" w:after="240"/>
      </w:pPr>
      <w:r>
        <w:rPr>
          <w:b/>
          <w:i/>
          <w:color w:val="3A0517"/>
        </w:rPr>
        <w:t>Applicable Negative Treatment</w:t>
      </w:r>
    </w:p>
    <w:p>
      <w:pPr>
        <w:spacing w:before="0" w:after="0"/>
      </w:pPr>
      <w:r>
        <w:rPr>
          <w:b/>
        </w:rPr>
        <w:t>1. Broughton v. Cigna Healthplans, 21 Cal. 4th 1066:</w:t>
      </w:r>
      <w:r>
        <w:t xml:space="preserve"> This case limits the general proposition that courts must enforce arbitration agreements by holding that certain claims, specifically those for public injunctive relief under the Consumer Legal Remedies Act (CLRA), are not suitable for arbitration and thus are not subject to mandatory enforcement of an arbitration clause.</w:t>
      </w:r>
    </w:p>
    <w:p>
      <w:pPr>
        <w:spacing w:before="0" w:after="0"/>
      </w:pPr>
      <w:r>
        <w:rPr>
          <w:b/>
        </w:rPr>
        <w:t>2. Pearson Dental Supplies, Inc. v. Superior Court, 48 Cal. 4th 665:</w:t>
      </w:r>
      <w:r>
        <w:t xml:space="preserve"> This case limits the </w:t>
      </w:r>
      <w:r>
        <w:rPr>
          <w:i/>
        </w:rPr>
        <w:t>Moncharsh</w:t>
      </w:r>
      <w:r>
        <w:t xml:space="preserve"> rule of limited judicial review by establishing that an arbitrator exceeds their powers when a clear legal error in an award prevents an employee from obtaining a hearing on the merits of an unwaivable statutory claim (such as those under FEHA) in the context of mandatory employment arbitration.</w:t>
      </w:r>
    </w:p>
    <w:p>
      <w:pPr>
        <w:spacing w:before="0" w:after="0"/>
      </w:pPr>
      <w:r>
        <w:rPr>
          <w:b/>
        </w:rPr>
        <w:t>3. Cable Connection, Inc. v. DIRECTV, Inc., 44 Cal. 4th 1334:</w:t>
      </w:r>
      <w:r>
        <w:t xml:space="preserve"> This case clarifies and distinguishes </w:t>
      </w:r>
      <w:r>
        <w:rPr>
          <w:i/>
        </w:rPr>
        <w:t>Moncharsh</w:t>
      </w:r>
      <w:r>
        <w:t xml:space="preserve"> by holding that the default rule of limited judicial review is based on the parties' presumed intent; therefore, parties may contractually agree to an expanded scope of judicial review for legal error, bypassing the standard </w:t>
      </w:r>
      <w:r>
        <w:rPr>
          <w:i/>
        </w:rPr>
        <w:t>Moncharsh</w:t>
      </w:r>
      <w:r>
        <w:t xml:space="preserve"> restrictions.</w:t>
      </w:r>
    </w:p>
    <w:p>
      <w:pPr>
        <w:spacing w:before="0" w:after="0"/>
      </w:pPr>
      <w:r>
        <w:rPr>
          <w:b/>
        </w:rPr>
        <w:t>4. Aguilar v. Lerner, 32 Cal. 4th 974:</w:t>
      </w:r>
      <w:r>
        <w:t xml:space="preserve"> This case limits the doctrine of arbitral finality by recognizing "limited and exceptional circumstances" where judicial review of an arbitrator's decision is justified, specifically when granting finality would be inconsistent with the protection of a party's statutory rights.</w:t>
      </w:r>
    </w:p>
    <w:p>
      <w:pPr>
        <w:spacing w:before="0" w:after="0"/>
      </w:pPr>
      <w:r>
        <w:rPr>
          <w:b/>
        </w:rPr>
        <w:t>5. Sargon Enterprises, Inc. v. Browne George Ross LLP, 15 Cal.App.5th 749:</w:t>
      </w:r>
      <w:r>
        <w:t xml:space="preserve"> This case limits the application of the </w:t>
      </w:r>
      <w:r>
        <w:rPr>
          <w:i/>
        </w:rPr>
        <w:t>Moncharsh</w:t>
      </w:r>
      <w:r>
        <w:t xml:space="preserve"> finality rule, holding that the presumption of finality does not apply when an arbitration award violates a party's statutory rights or a well-defined public policy.</w:t>
      </w:r>
    </w:p>
    <w:p>
      <w:pPr>
        <w:spacing w:before="240" w:after="240"/>
      </w:pPr>
      <w:r>
        <w:rPr>
          <w:b/>
          <w:i/>
          <w:color w:val="3A0517"/>
        </w:rPr>
        <w:t>Other Relevant Precedence</w:t>
      </w:r>
    </w:p>
    <w:p>
      <w:pPr>
        <w:spacing w:before="0" w:after="0"/>
      </w:pPr>
      <w:r>
        <w:rPr>
          <w:b/>
        </w:rPr>
        <w:t>1. Saint Agnes Medical Center v. PacifiCare of California, 31 Cal. 4th 1187:</w:t>
      </w:r>
      <w:r>
        <w:t xml:space="preserve"> This case provides more specific guidance on the standards for waiver of the right to arbitrate and the assessment of prejudice, which is directly relevant to the Appellants' argument regarding their diligence and the "Catch-22" timing of their request to arbitrate.</w:t>
      </w:r>
    </w:p>
    <w:p>
      <w:pPr>
        <w:spacing w:before="0" w:after="0"/>
      </w:pPr>
      <w:r>
        <w:rPr>
          <w:b/>
        </w:rPr>
        <w:t>2. Vandenberg v. Superior Court, 21 Cal. 4th 815:</w:t>
      </w:r>
      <w:r>
        <w:t xml:space="preserve"> This precedent emphasizes that the scope of arbitration is strictly a matter of agreement between the parties and that the powers of an arbitrator are limited by the submission agreement, supporting the Appellants' claim that the court was contractually bound to refer the specific "form or content" dispute to Judge Stone.</w:t>
      </w:r>
    </w:p>
    <w:p>
      <w:pPr>
        <w:spacing w:before="0" w:after="0"/>
      </w:pPr>
      <w:r>
        <w:rPr>
          <w:b/>
        </w:rPr>
        <w:t>3. OTO, LLC v. Kho, 8 Cal.5th 111:</w:t>
      </w:r>
      <w:r>
        <w:t xml:space="preserve"> As a more recent California Supreme Court decision, it reaffirms the strong public policy favoring arbitration and the mandate that arbitration contracts be vigorously enforced according to their terms, providing a more contemporary jurisdictional match for the enforcement rule cited from </w:t>
      </w:r>
      <w:r>
        <w:rPr>
          <w:i/>
        </w:rPr>
        <w:t>Moncharsh</w:t>
      </w:r>
      <w:r>
        <w:t>.</w:t>
      </w:r>
    </w:p>
    <w:p>
      <w:pPr>
        <w:spacing w:before="0" w:after="0"/>
      </w:pPr>
      <w:r>
        <w:rPr>
          <w:b/>
        </w:rPr>
        <w:t>4. Ericksen, Arbuthnot, McCarthy, Kearney &amp; Walsh, Inc. v. 100 Oak Street, 35 Cal.3d 312:</w:t>
      </w:r>
      <w:r>
        <w:t xml:space="preserve"> This is the foundational authority for the rule that courts must enforce arbitration agreements unless grounds for revocation exist, and it specifically addresses the requirement to arbitrate even when the underlying contract is challenged, which is on-point for the dispute over the Bisel settlement's application.</w:t>
      </w:r>
    </w:p>
    <w:p>
      <w:pPr>
        <w:spacing w:before="0" w:after="0"/>
      </w:pPr>
      <w:r>
        <w:rPr>
          <w:b/>
        </w:rPr>
        <w:t>5. Armendariz v. Found. Health Psychcare Servs., Inc., 24 Cal. 4th 83:</w:t>
      </w:r>
      <w:r>
        <w:t xml:space="preserve"> This case elaborates on the public policy favoring arbitration while establishing the minimum requirements for a fair arbitral process, which supports the Appellants' argument that they were entitled to the specific benefits of the arbitration process (expert determination by Judge Stone) they bargained for.</w:t>
      </w:r>
    </w:p>
    <w:p>
      <w:r>
        <w:br w:type="page"/>
      </w:r>
    </w:p>
    <w:p>
      <w:pPr>
        <w:spacing w:before="0" w:after="0"/>
      </w:pPr>
      <w:r/>
      <w:hyperlink w:anchor="accurate">
        <w:r>
          <w:rPr/>
          <w:t xml:space="preserve">↑ Triage</w:t>
        </w:r>
      </w:hyperlink>
    </w:p>
    <w:p>
      <w:pPr>
        <w:pStyle w:val="Heading3"/>
      </w:pPr>
      <w:r>
        <w:bookmarkStart w:id="52" w:name="carrvcove33c46"/>
        <w:bookmarkEnd w:id="52" w:name="carrvcove33c46"/>
      </w:r>
      <w:r>
        <w:t>Carr v. Cove 33 Cal.App.3d 851</w:t>
      </w:r>
    </w:p>
    <w:p>
      <w:pPr>
        <w:spacing w:before="240" w:after="240"/>
      </w:pPr>
      <w:r>
        <w:rPr>
          <w:b/>
          <w:i/>
          <w:color w:val="3A0517"/>
        </w:rPr>
        <w:t>Use of Citation</w:t>
      </w:r>
      <w:r>
        <w:t xml:space="preserve"> 🟢</w:t>
      </w:r>
    </w:p>
    <w:p>
      <w:pPr>
        <w:spacing w:before="0" w:after="0"/>
      </w:pPr>
      <w:r>
        <w:t>The brief cites Carr v. Cove (1973) 33 Cal.App.3d 851 to support the legal rule that a settlement offset is only appropriate to prevent double recovery for a single injury caused by joint tortfeasors, and that no such danger exists when separate tortfeasors cause separate injuries (p. 38). The brief uses Carr as a primary analogical authority to argue that the trial court's application of the Bisel settlement as a full offset against the Band Pro judgment was erroneous (p. 38). In Carr, the plaintiff was involved in two separate automobile accidents with different defendants; the court rejected a set-off of the first settlement against the second verdict because the harms were separate (p. 38). The brief interprets Carr as establishing that the purpose of set-offs is limited to preventing double recoveries for a single injury (p. 38). It applies this reasoning by analogy, asserting that Carr controls the present case because the Bisel settlement primarily resolved claims unrelated to the Band Pro defendants, such as a privacy lawsuit, an advance payment dispute, and 40 unrelated financing transactions (p. 39). The brief concludes that because these separate tortfeasors caused separate injuries, there was no danger of a double recovery by EFD for the same harm (p. 39).</w:t>
      </w:r>
    </w:p>
    <w:p>
      <w:pPr>
        <w:spacing w:before="240" w:after="240"/>
      </w:pPr>
      <w:r>
        <w:rPr>
          <w:b/>
          <w:i/>
          <w:color w:val="3A0517"/>
        </w:rPr>
        <w:t>Accuracy Review</w:t>
      </w:r>
    </w:p>
    <w:p>
      <w:pPr>
        <w:spacing w:before="0" w:after="0"/>
      </w:pPr>
      <w:r>
        <w:t>The citation of Carr v. Cove in the Appellants' brief is a highly accurate application of the case's central legal principle. The brief correctly identifies the core holding of Carr: that the set-off provisions of CCP section 877 are intended to prevent double recovery for a single injury caused by joint tortfeasors, but do not apply when separate tortfeasors cause separate injuries. The brief effectively analogizes the physically distinct car accidents in Carr to the transactionally distinct fraudulent acts in the present case. By highlighting that the Bisel settlement covered entirely different legal claims (privacy) and different financial transactions than those adjudicated at trial, the brief aligns its argument with Carr's reasoning that 'sorting out' injuries is a factual necessity to ensure a plaintiff receives full satisfaction for each distinct harm. The brief does not overextend the rule; rather, it uses Carr to reinforce the statutory 'same tort' limitation of section 877. The reliance on Carr is contextually appropriate because it addresses the specific scenario where a defendant seeks to benefit from a settlement involving a different incident/tort, which is the crux of the Appellants' challenge to the trial court's mechanical application of the offset.</w:t>
      </w:r>
    </w:p>
    <w:p>
      <w:pPr>
        <w:spacing w:before="240" w:after="240"/>
      </w:pPr>
      <w:r>
        <w:rPr>
          <w:b/>
          <w:i/>
          <w:color w:val="3A0517"/>
        </w:rPr>
        <w:t>Use of Quotes</w:t>
      </w:r>
      <w:r>
        <w:bookmarkStart w:id="53" w:name="carrvcove33c47"/>
        <w:bookmarkEnd w:id="53" w:name="carrvcove33c47"/>
      </w:r>
    </w:p>
    <w:p>
      <w:pPr>
        <w:spacing w:before="240" w:after="240"/>
      </w:pPr>
      <w:r>
        <w:t xml:space="preserve">🟢 </w:t>
      </w:r>
      <w:r>
        <w:rPr>
          <w:b/>
          <w:i/>
          <w:color w:val="3A0517"/>
        </w:rPr>
        <w:t>Quote 1 - 33 Cal.App.3d at p. 854</w:t>
      </w:r>
    </w:p>
    <w:p>
      <w:pPr>
        <w:pStyle w:val="Quote"/>
      </w:pPr>
      <w:r>
        <w:t>prevent settlements from producing double recoveries [for] a single injury caused by joint tortfeasors</w:t>
      </w:r>
    </w:p>
    <w:p>
      <w:pPr>
        <w:spacing w:before="0" w:after="0"/>
      </w:pPr>
      <w:r>
        <w:t>The quote 'prevent settlements from producing double recoveries [for] a single injury caused by joint tortfeasors' exists on page 854 of Carr v. Cove. It is accurate, with the bracketed word '[for]' used appropriately to maintain grammatical flow without altering the court's meaning. It is contextually complete as it describes the primary purpose of the pro tanto reduction provision in CCP section 877.</w:t>
      </w:r>
    </w:p>
    <w:p>
      <w:pPr>
        <w:spacing w:before="240" w:after="240"/>
      </w:pPr>
      <w:r>
        <w:t xml:space="preserve">🟢 </w:t>
      </w:r>
      <w:r>
        <w:rPr>
          <w:b/>
          <w:i/>
          <w:color w:val="3A0517"/>
        </w:rPr>
        <w:t>Quote 1 - 33 Cal.App.3d at p. 854</w:t>
      </w:r>
    </w:p>
    <w:p>
      <w:pPr>
        <w:pStyle w:val="Quote"/>
      </w:pPr>
      <w:r>
        <w:t>Only one complete satisfaction is permissible, and, if partial satisfaction is received from one, the liability of others will be correspondingly reduced.</w:t>
      </w:r>
    </w:p>
    <w:p>
      <w:pPr>
        <w:spacing w:before="0" w:after="0"/>
      </w:pPr>
      <w:r>
        <w:t>The quote 'Only one complete satisfaction is permissible, and, if partial satisfaction is received from one, the liability of others will be correspondingly reduced' exists on page 854. It is an accurate and complete representation of the court's statement regarding the general theory of compensatory damages in the context of joint and several liability.</w:t>
      </w:r>
    </w:p>
    <w:p>
      <w:pPr>
        <w:spacing w:before="240" w:after="240"/>
      </w:pPr>
      <w:r>
        <w:t xml:space="preserve">🟢 </w:t>
      </w:r>
      <w:r>
        <w:rPr>
          <w:b/>
          <w:i/>
          <w:color w:val="3A0517"/>
        </w:rPr>
        <w:t>Quote 1 - 33 Cal.App.3d at p. 854</w:t>
      </w:r>
    </w:p>
    <w:p>
      <w:pPr>
        <w:pStyle w:val="Quote"/>
      </w:pPr>
      <w:r>
        <w:t>tortfeasors involved in separate torts</w:t>
      </w:r>
    </w:p>
    <w:p>
      <w:pPr>
        <w:spacing w:before="0" w:after="0"/>
      </w:pPr>
      <w:r>
        <w:t>The phrase 'tortfeasors involved in separate torts' exists on page 854. It is accurate and represents the court's observation that no prior case had applied section 877 to such parties. It is used correctly to define the category of defendants to which the set-off rule does not apply.</w:t>
      </w:r>
    </w:p>
    <w:p>
      <w:pPr>
        <w:spacing w:before="240" w:after="240"/>
      </w:pPr>
      <w:r>
        <w:t xml:space="preserve">🟢 </w:t>
      </w:r>
      <w:r>
        <w:rPr>
          <w:b/>
          <w:i/>
          <w:color w:val="3A0517"/>
        </w:rPr>
        <w:t>Quote 1 - 33 Cal.App.3d at p. 854</w:t>
      </w:r>
    </w:p>
    <w:p>
      <w:pPr>
        <w:pStyle w:val="Quote"/>
      </w:pPr>
      <w:r>
        <w:t>[N]o danger of a double recovery exists where separate tortfeasors cause separate injuries.</w:t>
      </w:r>
    </w:p>
    <w:p>
      <w:pPr>
        <w:spacing w:before="0" w:after="0"/>
      </w:pPr>
      <w:r>
        <w:t>The quote '[N]o danger of a double recovery exists where separate tortfeasors cause separate injuries' exists on page 854. It is accurate (the brief brackets the capitalized 'N' to start a sentence). It completely represents the court's reasoning for why the set-off was denied in Carr.</w:t>
      </w:r>
    </w:p>
    <w:p>
      <w:pPr>
        <w:spacing w:before="240" w:after="240"/>
      </w:pPr>
      <w:r>
        <w:t xml:space="preserve">🟢 </w:t>
      </w:r>
      <w:r>
        <w:rPr>
          <w:b/>
          <w:i/>
          <w:color w:val="3A0517"/>
        </w:rPr>
        <w:t>Quote 1 - 33 Cal.App.3d at p. 857</w:t>
      </w:r>
    </w:p>
    <w:p>
      <w:pPr>
        <w:pStyle w:val="Quote"/>
      </w:pPr>
      <w:r>
        <w:t>received satisfaction</w:t>
      </w:r>
    </w:p>
    <w:p>
      <w:pPr>
        <w:spacing w:before="0" w:after="0"/>
      </w:pPr>
      <w:r>
        <w:t>The phrase 'received satisfaction' exists on page 857. It is accurate and represents the court's focus on whether the plaintiff has actually been compensated for the specific injury at issue. It is contextually complete.</w:t>
      </w:r>
    </w:p>
    <w:p>
      <w:pPr>
        <w:spacing w:before="240" w:after="240"/>
      </w:pPr>
      <w:r>
        <w:t xml:space="preserve">🟢 </w:t>
      </w:r>
      <w:r>
        <w:rPr>
          <w:b/>
          <w:i/>
          <w:color w:val="3A0517"/>
        </w:rPr>
        <w:t>Quote 1 - 33 Cal.App.3d at p. 857</w:t>
      </w:r>
    </w:p>
    <w:p>
      <w:pPr>
        <w:pStyle w:val="Quote"/>
      </w:pPr>
      <w:r>
        <w:t>to compensate the plaintiff for the injuries sustained and damages incurred in the second collision.</w:t>
      </w:r>
    </w:p>
    <w:p>
      <w:pPr>
        <w:spacing w:before="0" w:after="0"/>
      </w:pPr>
      <w:r>
        <w:t>The quote 'to compensate the plaintiff for the injuries sustained and damages incurred in the second collision' exists on page 857. It is accurate and represents the court's factual finding regarding the purpose of the jury's verdict in that case. It is used as a direct analog for the Band Pro verdict.</w:t>
      </w:r>
    </w:p>
    <w:p>
      <w:pPr>
        <w:spacing w:before="240" w:after="240"/>
      </w:pPr>
      <w:r>
        <w:t xml:space="preserve">🟢 </w:t>
      </w:r>
      <w:r>
        <w:rPr>
          <w:b/>
          <w:i/>
          <w:color w:val="3A0517"/>
        </w:rPr>
        <w:t>Quote 1 - 33 Cal.App.3d at p. 854</w:t>
      </w:r>
    </w:p>
    <w:p>
      <w:pPr>
        <w:pStyle w:val="Quote"/>
      </w:pPr>
      <w:r>
        <w:t>single injury caused by joint tortfeasors</w:t>
      </w:r>
    </w:p>
    <w:p>
      <w:pPr>
        <w:spacing w:before="0" w:after="0"/>
      </w:pPr>
      <w:r>
        <w:t>The phrase 'single injury caused by joint tortfeasors' exists on page 854. It is accurate and represents the specific condition required for a set-off under the court's interpretation of section 877.</w:t>
      </w:r>
    </w:p>
    <w:p>
      <w:pPr>
        <w:spacing w:before="240" w:after="240"/>
      </w:pPr>
      <w:r>
        <w:t xml:space="preserve">🟢 </w:t>
      </w:r>
      <w:r>
        <w:rPr>
          <w:b/>
          <w:i/>
          <w:color w:val="3A0517"/>
        </w:rPr>
        <w:t>Quote 1 - 33 Cal.App.3d at p. 854</w:t>
      </w:r>
    </w:p>
    <w:p>
      <w:pPr>
        <w:pStyle w:val="Quote"/>
      </w:pPr>
      <w:r>
        <w:t>no danger of a double recovery</w:t>
      </w:r>
    </w:p>
    <w:p>
      <w:pPr>
        <w:spacing w:before="0" w:after="0"/>
      </w:pPr>
      <w:r>
        <w:t>The phrase 'no danger of a double recovery' exists on page 854. It is accurate and represents the court's conclusion when injuries are divisible and caused by separate acts. It is contextually complete.</w:t>
      </w:r>
    </w:p>
    <w:p>
      <w:pPr>
        <w:spacing w:before="240" w:after="240"/>
      </w:pPr>
      <w:r>
        <w:rPr>
          <w:b/>
          <w:i/>
          <w:color w:val="3A0517"/>
        </w:rPr>
        <w:t>Applicable Negative Treatment</w:t>
      </w:r>
    </w:p>
    <w:p>
      <w:pPr>
        <w:spacing w:before="0" w:after="0"/>
      </w:pPr>
      <w:r>
        <w:rPr>
          <w:b/>
        </w:rPr>
        <w:t>1. Lafayette v. County of Los Angeles, 162 Cal.App.3d 547:</w:t>
      </w:r>
      <w:r>
        <w:t xml:space="preserve"> This case limits the interpretation of </w:t>
      </w:r>
      <w:r>
        <w:rPr>
          <w:i/>
        </w:rPr>
        <w:t>Carr v. Cove</w:t>
      </w:r>
      <w:r>
        <w:t xml:space="preserve"> by clarifying that Code of Civil Procedure section 877 is not restricted solely to "joint tortfeasors" acting in concert. It holds that the statute applies more broadly to any party "claimed to be liable for the same tort" and that the bar against double recovery applies whenever there is overlapping liability for the same injury, regardless of whether the defendants are technically "joint" tortfeasors.</w:t>
      </w:r>
    </w:p>
    <w:p>
      <w:pPr>
        <w:spacing w:before="0" w:after="0"/>
      </w:pPr>
      <w:r>
        <w:rPr>
          <w:b/>
        </w:rPr>
        <w:t>2. Sanchez v. Bay General Hospital, 116 Cal.App.3d 776:</w:t>
      </w:r>
      <w:r>
        <w:t xml:space="preserve"> This case distinguishes and limits the "successive independent tort" rule in </w:t>
      </w:r>
      <w:r>
        <w:rPr>
          <w:i/>
        </w:rPr>
        <w:t>Carr v. Cove</w:t>
      </w:r>
      <w:r>
        <w:t>. It holds that where successive acts contribute to a single, indivisible result (such as death), the tortfeasors are liable for the "same tort" under section 877, and an offset is required, even if the acts were independent and occurred at different times.</w:t>
      </w:r>
    </w:p>
    <w:p>
      <w:pPr>
        <w:spacing w:before="0" w:after="0"/>
      </w:pPr>
      <w:r>
        <w:rPr>
          <w:b/>
        </w:rPr>
        <w:t>3. Kohn v. Superior Court, 142 Cal.App.3d 323:</w:t>
      </w:r>
      <w:r>
        <w:t xml:space="preserve"> This case distinguishes </w:t>
      </w:r>
      <w:r>
        <w:rPr>
          <w:i/>
        </w:rPr>
        <w:t>Carr v. Cove</w:t>
      </w:r>
      <w:r>
        <w:t xml:space="preserve"> by holding that multiple tortious activities occurring at different times (e.g., negligent inspection and fraud) constitute the "same tort" for offset purposes if they result in a single indivisible injury. This limits </w:t>
      </w:r>
      <w:r>
        <w:rPr>
          <w:i/>
        </w:rPr>
        <w:t>Carr</w:t>
      </w:r>
      <w:r>
        <w:t>'s application by narrowing what qualifies as "separate injuries" that would preclude a settlement set-off.</w:t>
      </w:r>
    </w:p>
    <w:p>
      <w:pPr>
        <w:spacing w:before="240" w:after="240"/>
      </w:pPr>
      <w:r>
        <w:rPr>
          <w:b/>
          <w:i/>
          <w:color w:val="3A0517"/>
        </w:rPr>
        <w:t>Other Relevant Precedence</w:t>
      </w:r>
    </w:p>
    <w:p>
      <w:pPr>
        <w:spacing w:before="0" w:after="0"/>
      </w:pPr>
      <w:r>
        <w:rPr>
          <w:b/>
        </w:rPr>
        <w:t>1. Garcia v. Myllyla, 40 Cal.App.5th 990:</w:t>
      </w:r>
      <w:r>
        <w:t xml:space="preserve"> This recent California authority applies </w:t>
      </w:r>
      <w:r>
        <w:rPr>
          <w:i/>
        </w:rPr>
        <w:t>Carr</w:t>
      </w:r>
      <w:r>
        <w:t xml:space="preserve"> to deny offsets where torts occurred during different time periods, directly supporting Appellants' argument that separate financing transactions over several years constitute separate harms.</w:t>
      </w:r>
    </w:p>
    <w:p>
      <w:pPr>
        <w:spacing w:before="0" w:after="0"/>
      </w:pPr>
      <w:r>
        <w:rPr>
          <w:b/>
        </w:rPr>
        <w:t>2. Lafayette v. County of Los Angeles, 162 Cal.App.3d 547:</w:t>
      </w:r>
      <w:r>
        <w:t xml:space="preserve"> This case clarifies that Code of Civil Procedure section 877 applies to any party "claimed to be liable for the same tort," providing the specific legal framework for the trial court's reliance on the conspiracy allegations in the complaint to justify the offset.</w:t>
      </w:r>
    </w:p>
    <w:p>
      <w:pPr>
        <w:spacing w:before="0" w:after="0"/>
      </w:pPr>
      <w:r>
        <w:rPr>
          <w:b/>
        </w:rPr>
        <w:t>3. Kohn v. Superior Court, 142 Cal.App.3d 323:</w:t>
      </w:r>
      <w:r>
        <w:t xml:space="preserve"> This case distinguishes </w:t>
      </w:r>
      <w:r>
        <w:rPr>
          <w:i/>
        </w:rPr>
        <w:t>Carr</w:t>
      </w:r>
      <w:r>
        <w:t xml:space="preserve"> by finding that multiple tortious acts occurring at different times can result in a single indivisible injury, which is the core theory used by the trial court to treat the 65 transactions as a single unit.</w:t>
      </w:r>
    </w:p>
    <w:p>
      <w:pPr>
        <w:spacing w:before="0" w:after="0"/>
      </w:pPr>
      <w:r>
        <w:rPr>
          <w:b/>
        </w:rPr>
        <w:t>4. Gackstetter v. Frawley, 135 Cal.App.4th 1257:</w:t>
      </w:r>
      <w:r>
        <w:t xml:space="preserve"> This opinion analyzes the "nexus" required between tortfeasors to establish joint liability for an indivisible injury under section 877.6, which is highly relevant to whether the Band Pro and Bisel defendants caused distinct or indivisible damages.</w:t>
      </w:r>
    </w:p>
    <w:p>
      <w:pPr>
        <w:spacing w:before="0" w:after="0"/>
      </w:pPr>
      <w:r>
        <w:rPr>
          <w:b/>
        </w:rPr>
        <w:t>5. Sanchez v. Bay General Hospital, 116 Cal.App.3d 776:</w:t>
      </w:r>
      <w:r>
        <w:t xml:space="preserve"> This case distinguishes </w:t>
      </w:r>
      <w:r>
        <w:rPr>
          <w:i/>
        </w:rPr>
        <w:t>Carr</w:t>
      </w:r>
      <w:r>
        <w:t xml:space="preserve"> by contrasting successive independent torts with multiple torts contributing to a single indivisible result, a central point of contention regarding the nature of the injuries in the Appellants' brief.</w:t>
      </w:r>
    </w:p>
    <w:p>
      <w:r>
        <w:br w:type="page"/>
      </w:r>
    </w:p>
    <w:p>
      <w:pPr>
        <w:spacing w:before="0" w:after="0"/>
      </w:pPr>
      <w:r/>
      <w:hyperlink w:anchor="accurate">
        <w:r>
          <w:rPr/>
          <w:t xml:space="preserve">↑ Triage</w:t>
        </w:r>
      </w:hyperlink>
    </w:p>
    <w:p>
      <w:pPr>
        <w:pStyle w:val="Heading3"/>
      </w:pPr>
      <w:r>
        <w:bookmarkStart w:id="54" w:name="businessandp48"/>
        <w:bookmarkEnd w:id="54" w:name="businessandp48"/>
      </w:r>
      <w:r>
        <w:t>Business and Professions Code § 17200</w:t>
      </w:r>
    </w:p>
    <w:p>
      <w:pPr>
        <w:spacing w:before="240" w:after="240"/>
      </w:pPr>
      <w:r>
        <w:rPr>
          <w:b/>
          <w:i/>
          <w:color w:val="3A0517"/>
        </w:rPr>
        <w:t>Use of Citation</w:t>
      </w:r>
      <w:r>
        <w:t xml:space="preserve"> 🟢</w:t>
      </w:r>
    </w:p>
    <w:p>
      <w:pPr>
        <w:spacing w:before="0" w:after="0"/>
      </w:pPr>
      <w:r>
        <w:t>The APPELLANTS’ CORRECTED OPENING BRIEF cites CA Business and Professions Code section 17200 (the Unfair Competition Law or UCL) to challenge the trial court's refusal to grant relief despite finding statutory violations. The brief uses the statute to support the proposition that once a court finds 'unlawful activity' under the UCL, injunctive relief is mandatory to prevent future violations (p. 52). It also supports the rule that the court has broad discretion to fashion appropriate remedies, including restitution, and that a plaintiff's initial miscalculation of damages does not preclude the court from considering the merits of the claim (p. 54-55). In the context of this matter, the appellants argue that the trial court found defendant DVWI liable for 'acting as a lender without a license,' which constitutes a per se violation of Section 17200, yet the court 'inexplicably declined to provide any relief' (p. 52). The appellants employ analogical reasoning by citing People v. Pac. Land Research Co. to argue that the court's failure to issue an injunction 'undermines the statute's core purpose of protecting the public' (p. 52). Additionally, they argue the court erred by failing to rule on UCL claims against Band Pro and Brooks for 'fraudulent business practices' and 'unlicensed loan brokering' (p. 54). They cite People v. Toomey to argue that the court should have fashioned a remedy even if the initial restitution calculation was disputed, especially since the appellants eventually accepted the respondents' alternative calculation (p. 54-55). The statutory rules are interpreted as having a 'remedial purpose' (p. 54) and containing multiple prongs, including an 'unlawful' prong and a 'fraud' prong (p. 54).</w:t>
      </w:r>
    </w:p>
    <w:p>
      <w:pPr>
        <w:spacing w:before="240" w:after="240"/>
      </w:pPr>
      <w:r>
        <w:rPr>
          <w:b/>
          <w:i/>
          <w:color w:val="3A0517"/>
        </w:rPr>
        <w:t>Accuracy Review</w:t>
      </w:r>
    </w:p>
    <w:p>
      <w:pPr>
        <w:spacing w:before="0" w:after="0"/>
      </w:pPr>
      <w:r>
        <w:t>The brief's citation of Section 17200 is legally sound and accurately reflects the statute's remedial framework. The appellants correctly identify that a violation of a licensing statute (Financial Code) serves as a predicate for an 'unlawful' act under the UCL, and that proven fraud satisfies the 'fraudulent' prong. The argument that the trial court erred by finding a violation but refusing all relief—including an injunction and restitution—aligns with the statute's purpose of deterring unfair competition and protecting the public. While the brief's assertion that injunctive relief is 'mandatory' may be a strong interpretation of equitable discretion, it is a well-supported advocacy position in California law when a statutory violation is proven and likely to recur. Furthermore, the brief correctly notes that the court's broad power to fashion restitution under People v. Toomey should not have been stymied by an initial miscalculation of damages, especially given the equitable nature of the UCL which prioritizes making the victim whole over technical pleading requirements regarding the specific amount of restitution.</w:t>
      </w:r>
    </w:p>
    <w:p>
      <w:r>
        <w:br w:type="page"/>
      </w:r>
    </w:p>
    <w:p>
      <w:pPr>
        <w:spacing w:before="0" w:after="0"/>
      </w:pPr>
      <w:r/>
      <w:hyperlink w:anchor="accurate">
        <w:r>
          <w:rPr/>
          <w:t xml:space="preserve">↑ Triage</w:t>
        </w:r>
      </w:hyperlink>
    </w:p>
    <w:p>
      <w:pPr>
        <w:pStyle w:val="Heading3"/>
      </w:pPr>
      <w:r>
        <w:bookmarkStart w:id="55" w:name="codeofcivilp49"/>
        <w:bookmarkEnd w:id="55" w:name="codeofcivilp49"/>
      </w:r>
      <w:r>
        <w:t>Code of Civil Procedure § 877</w:t>
      </w:r>
    </w:p>
    <w:p>
      <w:pPr>
        <w:spacing w:before="240" w:after="240"/>
      </w:pPr>
      <w:r>
        <w:rPr>
          <w:b/>
          <w:i/>
          <w:color w:val="3A0517"/>
        </w:rPr>
        <w:t>Use of Citation</w:t>
      </w:r>
      <w:r>
        <w:t xml:space="preserve"> 🟢</w:t>
      </w:r>
    </w:p>
    <w:p>
      <w:pPr>
        <w:spacing w:before="0" w:after="0"/>
      </w:pPr>
      <w:r>
        <w:t>The Appellants’ Corrected Opening Brief cites California Code of Civil Procedure section 877 as the central statutory authority governing settlement offsets in multi-party litigation. The brief uses section 877 to support the proposition that a settlement with one or more tortfeasors shall reduce the claims against others in the amount stipulated by the release, the dismissal, or the covenant, or in the amount of the consideration paid for it, whichever is greater (p. 8, 9). The appellants argue that the trial court misapplied this statute by failing to allocate a $375,000 settlement (the Bisel settlement) to the specific claims it was intended to resolve, resulting in an erroneous full offset that nullified a jury's fraud verdict (p. 9, 24).</w:t>
      </w:r>
    </w:p>
    <w:p>
      <w:pPr>
        <w:spacing w:before="0" w:after="0"/>
      </w:pPr>
      <w:r>
        <w:t>The precise context of the citation involves the trial court's treatment of approximately 65 separate equipment financing transactions as a single, indivisible unit for offset purposes (p. 9, 24-25). The appellants employ analogical reasoning based on Lilienthal &amp; Fowler v. Superior Court (1993) 16 Cal.Rptr.2d 458, which interprets section 877 to require that separate obligations be treated as distinct claims (p. 24-25). They argue that because the transactions involved different times, specific obligations (different equipment and lenders), and distinct damages, they do not constitute the 'same tort' under section 877, subdivision (a) (p. 25-26). Furthermore, the brief cites Carr v. Cove (1973) 33 Cal.App.3d 851 to argue that section 877 is intended to prevent double recovery for a single injury caused by joint tortfeasors, but should not be used to reduce liability for separate torts causing separate injuries (p. 38-39).</w:t>
      </w:r>
    </w:p>
    <w:p>
      <w:pPr>
        <w:spacing w:before="0" w:after="0"/>
      </w:pPr>
      <w:r>
        <w:t>The statutory rules of section 877 are interpreted as requiring an equitable balancing analysis (p. 41-42). The appellants argue that the statute's primary interest is the maximization of recovery to the injured party and that it must be interpreted to allow full recovery to the extent others are responsible for the injuries (p. 43). They contend the trial court failed this interpretation by granting the Band Pro defendants an 'unearned windfall' through a mechanical application of the offset to claims unrelated to their conduct, such as a separate privacy lawsuit and advance payment disputes included in the Bisel settlement (p. 10, 27-32).</w:t>
      </w:r>
    </w:p>
    <w:p>
      <w:pPr>
        <w:spacing w:before="240" w:after="240"/>
      </w:pPr>
      <w:r>
        <w:rPr>
          <w:b/>
          <w:i/>
          <w:color w:val="3A0517"/>
        </w:rPr>
        <w:t>Accuracy Review</w:t>
      </w:r>
    </w:p>
    <w:p>
      <w:pPr>
        <w:spacing w:before="0" w:after="0"/>
      </w:pPr>
      <w:r>
        <w:t>The brief's citation of CCP 877 is legally sound and accurately identifies the statutory pivot point of the dispute. The appellants correctly state the general rule of subdivision (a) regarding the reduction of claims and then critically analyze the 'same tort' limitation. The application is not a mischaracterization but rather a targeted legal challenge to the trial court's broad interpretation of the statute. By relying on Lilienthal and Carr v. Cove, the brief properly contextualizes CCP 877 within a framework that requires allocation when a settlement covers multiple distinct harms or unrelated causes of action (such as the privacy lawsuit and AKT lease dispute). The argument that a 'mechanical' application leads to an 'unearned windfall' for defendants aligns with the equitable policy considerations inherent in the statute, which seeks to prevent double recovery without sacrificing the plaintiff's right to be made whole by each responsible party.</w:t>
      </w:r>
    </w:p>
    <w:p>
      <w:pPr>
        <w:spacing w:before="240" w:after="240"/>
      </w:pPr>
      <w:r>
        <w:rPr>
          <w:b/>
          <w:i/>
          <w:color w:val="3A0517"/>
        </w:rPr>
        <w:t>Use of Quotes</w:t>
      </w:r>
      <w:r>
        <w:bookmarkStart w:id="56" w:name="codeofcivilp50"/>
        <w:bookmarkEnd w:id="56" w:name="codeofcivilp50"/>
      </w:r>
    </w:p>
    <w:p>
      <w:pPr>
        <w:spacing w:before="240" w:after="240"/>
      </w:pPr>
      <w:r>
        <w:t xml:space="preserve">🟢 </w:t>
      </w:r>
      <w:r>
        <w:rPr>
          <w:b/>
          <w:i/>
          <w:color w:val="3A0517"/>
        </w:rPr>
        <w:t>Quote 1 - Code of Civil Procedure § 877 (a)</w:t>
      </w:r>
    </w:p>
    <w:p>
      <w:pPr>
        <w:pStyle w:val="Quote"/>
      </w:pPr>
      <w:r>
        <w:t>same tort</w:t>
      </w:r>
    </w:p>
    <w:p>
      <w:pPr>
        <w:spacing w:before="0" w:after="0"/>
      </w:pPr>
      <w:r>
        <w:t>The quote 'same tort' exists in the first paragraph of CCP 877 and specifically within subdivision (a). It is highly accurate and contextually complete as it represents the essential statutory condition for the application of an offset.</w:t>
      </w:r>
    </w:p>
    <w:p>
      <w:r>
        <w:br w:type="page"/>
      </w:r>
    </w:p>
    <w:p>
      <w:pPr>
        <w:spacing w:before="0" w:after="0"/>
      </w:pPr>
      <w:r/>
      <w:hyperlink w:anchor="accurate">
        <w:r>
          <w:rPr/>
          <w:t xml:space="preserve">↑ Triage</w:t>
        </w:r>
      </w:hyperlink>
    </w:p>
    <w:p>
      <w:pPr>
        <w:pStyle w:val="Heading3"/>
      </w:pPr>
      <w:r>
        <w:bookmarkStart w:id="57" w:name="penalcode632"/>
        <w:bookmarkEnd w:id="57" w:name="penalcode632"/>
      </w:r>
      <w:r>
        <w:t>Penal Code § 632</w:t>
      </w:r>
    </w:p>
    <w:p>
      <w:pPr>
        <w:spacing w:before="240" w:after="240"/>
      </w:pPr>
      <w:r>
        <w:rPr>
          <w:b/>
          <w:i/>
          <w:color w:val="3A0517"/>
        </w:rPr>
        <w:t>Use of Citation</w:t>
      </w:r>
      <w:r>
        <w:t xml:space="preserve"> 🟢</w:t>
      </w:r>
    </w:p>
    <w:p>
      <w:pPr>
        <w:spacing w:before="0" w:after="0"/>
      </w:pPr>
      <w:r>
        <w:t>The APPELLANTS’ CORRECTED OPENING BRIEF - R - BAND DEFENDANTS AND BROOKS (RECORD CITATIONS AND ADDING HYPERLINKS) cites CA Penal Code section 632 to support the proposition that the Bisel settlement included claims that were legally and factually distinct from the equipment financing fraud adjudicated at trial (p. 27). Specifically, the brief uses the statute to identify the legal basis of a separate privacy lawsuit involving privacy violations arising from a recorded phone call by an EFD employee in Mexico (p. 27). The appellants argue that this lawsuit involved different legal issues, parties, and factual predicates than the main action (p. 27). The context of this citation is the appellants' challenge to the trial court's application of a $375,000 settlement offset. The brief employs analogical reasoning based on the principle of divisibility, citing Lilienthal &amp; Fowler v. Superior Court to argue that separate obligations must be treated as distinct claims (p. 24-25). By identifying the privacy claim as a violation of Cal. Penal Code § 632, the appellants demonstrate that it involves an entirely different set of legal duties and considerations compared to the fraud and contract claims (p. 28). This distinction is further supported by the citation to Carr v. Cove, which establishes that no danger of double recovery exists when separate tortfeasors cause separate injuries (p. 38). The brief interprets the statutory rules of CA Penal Code section 632 as governing privacy violations related to unauthorized recording, asserting that the resolution of such a claim should not impact the recovery for the distinct harm suffered in the equipment financing dispute (p. 28).</w:t>
      </w:r>
    </w:p>
    <w:p>
      <w:pPr>
        <w:spacing w:before="240" w:after="240"/>
      </w:pPr>
      <w:r>
        <w:rPr>
          <w:b/>
          <w:i/>
          <w:color w:val="3A0517"/>
        </w:rPr>
        <w:t>Accuracy Review</w:t>
      </w:r>
    </w:p>
    <w:p>
      <w:pPr>
        <w:spacing w:before="0" w:after="0"/>
      </w:pPr>
      <w:r>
        <w:t>The citation to California Penal Code section 632 is an accurate application of the law within the context of the appellants' argument. The brief correctly identifies the statute as the basis for a privacy claim involving the unauthorized recording of a telephone call, which serves the procedural purpose of distinguishing that settled claim from the fraud claims handled at trial. While the brief technically omits Penal Code section 637.2—the specific statute that provides the civil remedy for a section 632 violation—this is a minor technicality that does not detract from the accuracy of the characterization of the claim. The application is contextually appropriate because it supports the legal argument for 'divisibility' under CCP 877 by showing that the settled privacy dispute involved entirely different legal duties, elements, and injuries than the 'juicing' scheme. There is no evidence of overextension or mischaracterization, as the brief uses the statute solely to label the nature of a previously settled action to prevent an inequitable judgment offset.</w:t>
      </w:r>
    </w:p>
    <w:p>
      <w:r>
        <w:br w:type="page"/>
      </w:r>
    </w:p>
    <w:p>
      <w:pPr>
        <w:spacing w:before="0" w:after="0"/>
      </w:pPr>
      <w:r/>
      <w:hyperlink w:anchor="unavailable">
        <w:r>
          <w:rPr/>
          <w:t xml:space="preserve">↑ Triage</w:t>
        </w:r>
      </w:hyperlink>
    </w:p>
    <w:p>
      <w:pPr>
        <w:pStyle w:val="Heading3"/>
      </w:pPr>
      <w:r>
        <w:bookmarkStart w:id="58" w:name="lilienthalfo52"/>
        <w:bookmarkEnd w:id="58" w:name="lilienthalfo52"/>
      </w:r>
      <w:r>
        <w:t>Lilienthal &amp; Fowler v. Superior Court 16 Cal.Rptr.2d 458</w:t>
      </w:r>
    </w:p>
    <w:p>
      <w:pPr>
        <w:spacing w:before="240" w:after="240"/>
      </w:pPr>
      <w:r>
        <w:rPr>
          <w:b/>
          <w:i/>
          <w:color w:val="3A0517"/>
        </w:rPr>
        <w:t>Use of Citation</w:t>
      </w:r>
      <w:r>
        <w:t xml:space="preserve"> ⚪</w:t>
      </w:r>
    </w:p>
    <w:p>
      <w:pPr>
        <w:spacing w:before="0" w:after="0"/>
      </w:pPr>
      <w:r>
        <w:t>The brief cites Lilienthal &amp; Fowler v. Superior Court to support the legal rule that separate and distinct obligations must be treated as separate claims when determining the scope and applicability of a good faith settlement offset under Code of Civil Procedure section 877 (p. 9, 24). In the context of this litigation, the appellants argue that the trial court committed reversible error by treating approximately 65 separate equipment financing transactions as a single, indivisible unit for offset purposes (p. 24-25). Appellants employ analogical reasoning by comparing the separate legal service contracts found to be distinct in Lilienthal to the equipment financing transactions at issue here, which spanned several years and involved different lenders and equipment (p. 25). The brief interprets Lilienthal as providing the definitive clarification of the 'same tort' language in the offset statute, holding that claims are distinct when they involve different times of performance, specific obligations, and resulting damages (p. 25). Appellants directly apply these legal concepts by demonstrating that the 16 transactions litigated at trial involved distinct times (2012-2015), distinct contractual obligations (different invoice numbers and lenders), and distinct damages (individualized 'juice' or overcharges), thus requiring an allocation of the settlement rather than a full offset (p. 25-26).</w:t>
      </w:r>
    </w:p>
    <w:p>
      <w:pPr>
        <w:spacing w:before="240" w:after="240"/>
      </w:pPr>
      <w:r>
        <w:rPr>
          <w:b/>
          <w:i/>
          <w:color w:val="3A0517"/>
        </w:rPr>
        <w:t>Accuracy Review</w:t>
      </w:r>
    </w:p>
    <w:p>
      <w:pPr>
        <w:spacing w:before="0" w:after="0"/>
      </w:pPr>
      <w:r>
        <w:t>Accuracy Review is not available for this rating level. The citation is likely not in error or a hallucination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Times New Roman" w:eastAsiaTheme="majorEastAsia" w:hAnsiTheme="majorHAnsi" w:cstheme="majorBidi" w:ascii="Times New Roman" w:hAnsi="Times New Roman"/>
      <w:b/>
      <w:bCs/>
      <w:color w:val="3A051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Times New Roman" w:eastAsiaTheme="majorEastAsia" w:hAnsiTheme="majorHAnsi" w:cstheme="majorBidi" w:ascii="Times New Roman" w:hAnsi="Times New Roman"/>
      <w:b/>
      <w:bCs/>
      <w:color w:val="3A051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Times New Roman" w:eastAsiaTheme="majorEastAsia" w:hAnsiTheme="majorHAnsi" w:cstheme="majorBidi" w:ascii="Times New Roman" w:hAnsi="Times New Roman"/>
      <w:b/>
      <w:bCs/>
      <w:color w:val="3A0517"/>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Times New Roman" w:eastAsiaTheme="majorEastAsia" w:hAnsiTheme="majorHAnsi" w:cstheme="majorBidi" w:ascii="Times New Roman" w:hAnsi="Times New Roman"/>
      <w:b/>
      <w:bCs/>
      <w:i/>
      <w:iCs/>
      <w:color w:val="3A0517"/>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Times New Roman" w:eastAsiaTheme="majorEastAsia" w:hAnsiTheme="majorHAnsi" w:cstheme="majorBidi" w:ascii="Times New Roman" w:hAnsi="Times New Roman"/>
      <w:color w:val="3A0517"/>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Times New Roman" w:eastAsiaTheme="majorEastAsia" w:hAnsiTheme="majorHAnsi" w:cstheme="majorBidi" w:ascii="Times New Roman" w:hAnsi="Times New Roman"/>
      <w:i/>
      <w:iCs/>
      <w:color w:val="3A0517"/>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ind w:left="720" w:right="720"/>
      <w:jc w:val="both"/>
    </w:pPr>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OpineTitle">
    <w:name w:val="Opine Title"/>
    <w:pPr>
      <w:spacing w:before="0"/>
    </w:pPr>
    <w:rPr>
      <w:rFonts w:ascii="Times New Roman" w:hAnsi="Times New Roman"/>
      <w:color w:val="3A0517"/>
      <w:sz w:val="32"/>
    </w:rPr>
  </w:style>
  <w:style w:type="paragraph" w:customStyle="1" w:styleId="OpineSubtitle">
    <w:name w:val="Opine Subtitle"/>
    <w:pPr>
      <w:spacing w:after="0" w:before="160"/>
    </w:pPr>
    <w:rPr>
      <w:rFonts w:ascii="Times New Roman" w:hAnsi="Times New Roman"/>
      <w:i/>
      <w:color w:val="3A0517"/>
      <w:sz w:val="32"/>
    </w:rPr>
  </w:style>
  <w:style w:type="paragraph" w:customStyle="1" w:styleId="TriageReport">
    <w:name w:val="Triage Report"/>
    <w:pPr>
      <w:spacing w:after="0" w:before="0"/>
      <w:jc w:val="center"/>
    </w:pPr>
    <w:rPr>
      <w:rFonts w:ascii="Times New Roman" w:hAnsi="Times New Roman"/>
      <w:color w:val="3A0517"/>
      <w:sz w:val="32"/>
    </w:rPr>
  </w:style>
  <w:style w:type="paragraph" w:customStyle="1" w:styleId="SmallCapsHeading">
    <w:name w:val="SmallCaps Heading"/>
    <w:rPr>
      <w:rFonts w:ascii="Times New Roman" w:hAnsi="Times New Roman"/>
      <w:b/>
      <w:smallCaps/>
      <w:color w:val="3A0517"/>
      <w:sz w:val="32"/>
    </w:rPr>
  </w:style>
  <w:style w:type="character" w:customStyle="1" w:styleId="Hyperlink">
    <w:name w:val="Hyperlink"/>
    <w:rPr>
      <w:color w:val="44444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pp.opin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